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1835642670"/>
        <w:docPartObj>
          <w:docPartGallery w:val="Cover Pages"/>
          <w:docPartUnique/>
        </w:docPartObj>
      </w:sdtPr>
      <w:sdtEndPr/>
      <w:sdtContent>
        <w:p w:rsidR="00327D8A" w:rsidRDefault="00327D8A">
          <w:r>
            <w:rPr>
              <w:noProof/>
              <w:lang w:val="en-AU" w:eastAsia="en-AU"/>
            </w:rPr>
            <mc:AlternateContent>
              <mc:Choice Requires="wps">
                <w:drawing>
                  <wp:anchor distT="0" distB="0" distL="114300" distR="114300" simplePos="0" relativeHeight="251659264" behindDoc="0" locked="0" layoutInCell="1" allowOverlap="1" wp14:anchorId="273538A0" wp14:editId="3FCA1F14">
                    <wp:simplePos x="0" y="0"/>
                    <mc:AlternateContent>
                      <mc:Choice Requires="wp14">
                        <wp:positionH relativeFrom="page">
                          <wp14:pctPosHOffset>2000</wp14:pctPosHOffset>
                        </wp:positionH>
                      </mc:Choice>
                      <mc:Fallback>
                        <wp:positionH relativeFrom="page">
                          <wp:posOffset>154940</wp:posOffset>
                        </wp:positionH>
                      </mc:Fallback>
                    </mc:AlternateContent>
                    <mc:AlternateContent>
                      <mc:Choice Requires="wp14">
                        <wp:positionV relativeFrom="page">
                          <wp14:pctPosVOffset>2000</wp14:pctPosVOffset>
                        </wp:positionV>
                      </mc:Choice>
                      <mc:Fallback>
                        <wp:positionV relativeFrom="page">
                          <wp:posOffset>200660</wp:posOffset>
                        </wp:positionV>
                      </mc:Fallback>
                    </mc:AlternateContent>
                    <wp:extent cx="5363210" cy="9655810"/>
                    <wp:effectExtent l="0" t="0" r="0" b="0"/>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63210" cy="965581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aps/>
                                    <w:color w:val="FFFFFF" w:themeColor="background1"/>
                                    <w:sz w:val="48"/>
                                    <w:szCs w:val="48"/>
                                  </w:rPr>
                                  <w:alias w:val="Title"/>
                                  <w:id w:val="-1402593604"/>
                                  <w:dataBinding w:prefixMappings="xmlns:ns0='http://schemas.openxmlformats.org/package/2006/metadata/core-properties' xmlns:ns1='http://purl.org/dc/elements/1.1/'" w:xpath="/ns0:coreProperties[1]/ns1:title[1]" w:storeItemID="{6C3C8BC8-F283-45AE-878A-BAB7291924A1}"/>
                                  <w:text/>
                                </w:sdtPr>
                                <w:sdtEndPr/>
                                <w:sdtContent>
                                  <w:p w:rsidR="00327D8A" w:rsidRPr="00327D8A" w:rsidRDefault="00961F64">
                                    <w:pPr>
                                      <w:pStyle w:val="Title"/>
                                      <w:pBdr>
                                        <w:bottom w:val="none" w:sz="0" w:space="0" w:color="auto"/>
                                      </w:pBdr>
                                      <w:jc w:val="right"/>
                                      <w:rPr>
                                        <w:caps/>
                                        <w:color w:val="FFFFFF" w:themeColor="background1"/>
                                        <w:sz w:val="48"/>
                                        <w:szCs w:val="48"/>
                                      </w:rPr>
                                    </w:pPr>
                                    <w:r>
                                      <w:rPr>
                                        <w:caps/>
                                        <w:color w:val="FFFFFF" w:themeColor="background1"/>
                                        <w:sz w:val="48"/>
                                        <w:szCs w:val="48"/>
                                        <w:lang w:val="en-AU"/>
                                      </w:rPr>
                                      <w:t>Control Order Safeguards (INSLM) Report Special Advocates and the Counter-Terrorism Legislation Amendment Bill (No 1) 2015</w:t>
                                    </w:r>
                                  </w:p>
                                </w:sdtContent>
                              </w:sdt>
                              <w:p w:rsidR="00327D8A" w:rsidRDefault="00327D8A">
                                <w:pPr>
                                  <w:spacing w:before="240"/>
                                  <w:ind w:left="720"/>
                                  <w:jc w:val="right"/>
                                  <w:rPr>
                                    <w:color w:val="FFFFFF" w:themeColor="background1"/>
                                  </w:rPr>
                                </w:pPr>
                              </w:p>
                              <w:sdt>
                                <w:sdtPr>
                                  <w:rPr>
                                    <w:rFonts w:asciiTheme="majorHAnsi" w:hAnsiTheme="majorHAnsi"/>
                                    <w:i/>
                                    <w:color w:val="FFFFFF" w:themeColor="background1"/>
                                    <w:sz w:val="26"/>
                                    <w:szCs w:val="26"/>
                                  </w:rPr>
                                  <w:alias w:val="Abstract"/>
                                  <w:id w:val="1815061388"/>
                                  <w:dataBinding w:prefixMappings="xmlns:ns0='http://schemas.microsoft.com/office/2006/coverPageProps'" w:xpath="/ns0:CoverPageProperties[1]/ns0:Abstract[1]" w:storeItemID="{55AF091B-3C7A-41E3-B477-F2FDAA23CFDA}"/>
                                  <w:text/>
                                </w:sdtPr>
                                <w:sdtEndPr/>
                                <w:sdtContent>
                                  <w:p w:rsidR="00327D8A" w:rsidRPr="00677039" w:rsidRDefault="007F7FBE">
                                    <w:pPr>
                                      <w:spacing w:before="240"/>
                                      <w:ind w:left="1008"/>
                                      <w:jc w:val="right"/>
                                      <w:rPr>
                                        <w:rFonts w:asciiTheme="majorHAnsi" w:hAnsiTheme="majorHAnsi"/>
                                        <w:i/>
                                        <w:color w:val="FFFFFF" w:themeColor="background1"/>
                                        <w:sz w:val="26"/>
                                        <w:szCs w:val="26"/>
                                      </w:rPr>
                                    </w:pPr>
                                    <w:r w:rsidRPr="00677039">
                                      <w:rPr>
                                        <w:rFonts w:asciiTheme="majorHAnsi" w:hAnsiTheme="majorHAnsi"/>
                                        <w:i/>
                                        <w:color w:val="FFFFFF" w:themeColor="background1"/>
                                        <w:sz w:val="26"/>
                                        <w:szCs w:val="26"/>
                                        <w:lang w:val="en-AU"/>
                                      </w:rPr>
                                      <w:t xml:space="preserve">The Hon Roger Gyles AO QC </w:t>
                                    </w:r>
                                  </w:p>
                                </w:sdtContent>
                              </w:sdt>
                            </w:txbxContent>
                          </wps:txbx>
                          <wps:bodyPr rot="0" spcFirstLastPara="0" vertOverflow="overflow" horzOverflow="overflow" vert="horz" wrap="square" lIns="274320" tIns="914400" rIns="274320" bIns="45720" numCol="1" spcCol="0" rtlCol="0" fromWordArt="0" anchor="ctr" anchorCtr="0" forceAA="0" compatLnSpc="1">
                            <a:prstTxWarp prst="textNoShape">
                              <a:avLst/>
                            </a:prstTxWarp>
                            <a:noAutofit/>
                          </wps:bodyPr>
                        </wps:wsp>
                      </a:graphicData>
                    </a:graphic>
                    <wp14:sizeRelH relativeFrom="page">
                      <wp14:pctWidth>69000</wp14:pctWidth>
                    </wp14:sizeRelH>
                    <wp14:sizeRelV relativeFrom="page">
                      <wp14:pctHeight>96000</wp14:pctHeight>
                    </wp14:sizeRelV>
                  </wp:anchor>
                </w:drawing>
              </mc:Choice>
              <mc:Fallback>
                <w:pict>
                  <v:rect id="Rectangle 47" o:spid="_x0000_s1026" style="position:absolute;margin-left:0;margin-top:0;width:422.3pt;height:760.3pt;z-index:251659264;visibility:visible;mso-wrap-style:square;mso-width-percent:690;mso-height-percent:960;mso-left-percent:20;mso-top-percent:20;mso-wrap-distance-left:9pt;mso-wrap-distance-top:0;mso-wrap-distance-right:9pt;mso-wrap-distance-bottom:0;mso-position-horizontal-relative:page;mso-position-vertical-relative:page;mso-width-percent:690;mso-height-percent:960;mso-left-percent:20;mso-top-percent:2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" fillcolor="#4f81bd [3204]" stroked="f" strokeweight="2pt">
                    <v:path arrowok="t"/>
                    <v:textbox inset="21.6pt,1in,21.6pt">
                      <w:txbxContent>
                        <w:sdt>
                          <w:sdtPr>
                            <w:rPr>
                              <w:caps/>
                              <w:color w:val="FFFFFF" w:themeColor="background1"/>
                              <w:sz w:val="48"/>
                              <w:szCs w:val="48"/>
                            </w:rPr>
                            <w:alias w:val="Title"/>
                            <w:id w:val="-1402593604"/>
                            <w:dataBinding w:prefixMappings="xmlns:ns0='http://schemas.openxmlformats.org/package/2006/metadata/core-properties' xmlns:ns1='http://purl.org/dc/elements/1.1/'" w:xpath="/ns0:coreProperties[1]/ns1:title[1]" w:storeItemID="{6C3C8BC8-F283-45AE-878A-BAB7291924A1}"/>
                            <w:text/>
                          </w:sdtPr>
                          <w:sdtEndPr/>
                          <w:sdtContent>
                            <w:p w:rsidR="00327D8A" w:rsidRPr="00327D8A" w:rsidRDefault="00961F64">
                              <w:pPr>
                                <w:pStyle w:val="Title"/>
                                <w:pBdr>
                                  <w:bottom w:val="none" w:sz="0" w:space="0" w:color="auto"/>
                                </w:pBdr>
                                <w:jc w:val="right"/>
                                <w:rPr>
                                  <w:caps/>
                                  <w:color w:val="FFFFFF" w:themeColor="background1"/>
                                  <w:sz w:val="48"/>
                                  <w:szCs w:val="48"/>
                                </w:rPr>
                              </w:pPr>
                              <w:r>
                                <w:rPr>
                                  <w:caps/>
                                  <w:color w:val="FFFFFF" w:themeColor="background1"/>
                                  <w:sz w:val="48"/>
                                  <w:szCs w:val="48"/>
                                  <w:lang w:val="en-AU"/>
                                </w:rPr>
                                <w:t>Control Order Safeguards (INSLM) Report Special Advocates and the Counter-Terrorism Legislation Amendment Bill (No 1) 2015</w:t>
                              </w:r>
                            </w:p>
                          </w:sdtContent>
                        </w:sdt>
                        <w:p w:rsidR="00327D8A" w:rsidRDefault="00327D8A">
                          <w:pPr>
                            <w:spacing w:before="240"/>
                            <w:ind w:left="720"/>
                            <w:jc w:val="right"/>
                            <w:rPr>
                              <w:color w:val="FFFFFF" w:themeColor="background1"/>
                            </w:rPr>
                          </w:pPr>
                        </w:p>
                        <w:sdt>
                          <w:sdtPr>
                            <w:rPr>
                              <w:rFonts w:asciiTheme="majorHAnsi" w:hAnsiTheme="majorHAnsi"/>
                              <w:i/>
                              <w:color w:val="FFFFFF" w:themeColor="background1"/>
                              <w:sz w:val="26"/>
                              <w:szCs w:val="26"/>
                            </w:rPr>
                            <w:alias w:val="Abstract"/>
                            <w:id w:val="1815061388"/>
                            <w:dataBinding w:prefixMappings="xmlns:ns0='http://schemas.microsoft.com/office/2006/coverPageProps'" w:xpath="/ns0:CoverPageProperties[1]/ns0:Abstract[1]" w:storeItemID="{55AF091B-3C7A-41E3-B477-F2FDAA23CFDA}"/>
                            <w:text/>
                          </w:sdtPr>
                          <w:sdtEndPr/>
                          <w:sdtContent>
                            <w:p w:rsidR="00327D8A" w:rsidRPr="00677039" w:rsidRDefault="007F7FBE">
                              <w:pPr>
                                <w:spacing w:before="240"/>
                                <w:ind w:left="1008"/>
                                <w:jc w:val="right"/>
                                <w:rPr>
                                  <w:rFonts w:asciiTheme="majorHAnsi" w:hAnsiTheme="majorHAnsi"/>
                                  <w:i/>
                                  <w:color w:val="FFFFFF" w:themeColor="background1"/>
                                  <w:sz w:val="26"/>
                                  <w:szCs w:val="26"/>
                                </w:rPr>
                              </w:pPr>
                              <w:r w:rsidRPr="00677039">
                                <w:rPr>
                                  <w:rFonts w:asciiTheme="majorHAnsi" w:hAnsiTheme="majorHAnsi"/>
                                  <w:i/>
                                  <w:color w:val="FFFFFF" w:themeColor="background1"/>
                                  <w:sz w:val="26"/>
                                  <w:szCs w:val="26"/>
                                  <w:lang w:val="en-AU"/>
                                </w:rPr>
                                <w:t xml:space="preserve">The Hon Roger Gyles AO QC </w:t>
                              </w:r>
                            </w:p>
                          </w:sdtContent>
                        </w:sdt>
                      </w:txbxContent>
                    </v:textbox>
                    <w10:wrap anchorx="page" anchory="page"/>
                  </v:rect>
                </w:pict>
              </mc:Fallback>
            </mc:AlternateContent>
          </w:r>
          <w:r>
            <w:rPr>
              <w:noProof/>
              <w:lang w:val="en-AU" w:eastAsia="en-AU"/>
            </w:rPr>
            <mc:AlternateContent>
              <mc:Choice Requires="wps">
                <w:drawing>
                  <wp:anchor distT="0" distB="0" distL="114300" distR="114300" simplePos="0" relativeHeight="251660288" behindDoc="0" locked="0" layoutInCell="1" allowOverlap="1" wp14:anchorId="48170AA5" wp14:editId="3700479D">
                    <wp:simplePos x="0" y="0"/>
                    <mc:AlternateContent>
                      <mc:Choice Requires="wp14">
                        <wp:positionH relativeFrom="page">
                          <wp14:pctPosHOffset>73000</wp14:pctPosHOffset>
                        </wp:positionH>
                      </mc:Choice>
                      <mc:Fallback>
                        <wp:positionH relativeFrom="page">
                          <wp:posOffset>5673725</wp:posOffset>
                        </wp:positionH>
                      </mc:Fallback>
                    </mc:AlternateContent>
                    <wp:positionV relativeFrom="page">
                      <wp:align>center</wp:align>
                    </wp:positionV>
                    <wp:extent cx="1880870" cy="9655810"/>
                    <wp:effectExtent l="0" t="0" r="0" b="0"/>
                    <wp:wrapNone/>
                    <wp:docPr id="48"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80870" cy="965581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sz w:val="26"/>
                                    <w:szCs w:val="26"/>
                                  </w:rPr>
                                  <w:alias w:val="Subtitle"/>
                                  <w:id w:val="1066155948"/>
                                  <w:showingPlcHdr/>
                                  <w:dataBinding w:prefixMappings="xmlns:ns0='http://schemas.openxmlformats.org/package/2006/metadata/core-properties' xmlns:ns1='http://purl.org/dc/elements/1.1/'" w:xpath="/ns0:coreProperties[1]/ns1:subject[1]" w:storeItemID="{6C3C8BC8-F283-45AE-878A-BAB7291924A1}"/>
                                  <w:text/>
                                </w:sdtPr>
                                <w:sdtEndPr/>
                                <w:sdtContent>
                                  <w:p w:rsidR="00327D8A" w:rsidRPr="00677039" w:rsidRDefault="00961F64">
                                    <w:pPr>
                                      <w:pStyle w:val="Subtitle"/>
                                      <w:rPr>
                                        <w:color w:val="FFFFFF" w:themeColor="background1"/>
                                        <w:sz w:val="26"/>
                                        <w:szCs w:val="26"/>
                                      </w:rPr>
                                    </w:pPr>
                                    <w:r>
                                      <w:rPr>
                                        <w:color w:val="FFFFFF" w:themeColor="background1"/>
                                        <w:sz w:val="26"/>
                                        <w:szCs w:val="26"/>
                                      </w:rPr>
                                      <w:t xml:space="preserve">     </w:t>
                                    </w:r>
                                  </w:p>
                                </w:sdtContent>
                              </w:sdt>
                            </w:txbxContent>
                          </wps:txbx>
                          <wps:bodyPr rot="0" spcFirstLastPara="0" vertOverflow="overflow" horzOverflow="overflow" vert="horz" wrap="square" lIns="182880" tIns="45720" rIns="182880" bIns="45720" numCol="1" spcCol="0" rtlCol="0" fromWordArt="0" anchor="ctr" anchorCtr="0" forceAA="0" compatLnSpc="1">
                            <a:prstTxWarp prst="textNoShape">
                              <a:avLst/>
                            </a:prstTxWarp>
                            <a:noAutofit/>
                          </wps:bodyPr>
                        </wps:wsp>
                      </a:graphicData>
                    </a:graphic>
                    <wp14:sizeRelH relativeFrom="page">
                      <wp14:pctWidth>24200</wp14:pctWidth>
                    </wp14:sizeRelH>
                    <wp14:sizeRelV relativeFrom="page">
                      <wp14:pctHeight>96000</wp14:pctHeight>
                    </wp14:sizeRelV>
                  </wp:anchor>
                </w:drawing>
              </mc:Choice>
              <mc:Fallback>
                <w:pict>
                  <v:rect id="Rectangle 48" o:spid="_x0000_s1027" style="position:absolute;margin-left:0;margin-top:0;width:148.1pt;height:760.3pt;z-index:251660288;visibility:visible;mso-wrap-style:square;mso-width-percent:242;mso-height-percent:960;mso-left-percent:730;mso-wrap-distance-left:9pt;mso-wrap-distance-top:0;mso-wrap-distance-right:9pt;mso-wrap-distance-bottom:0;mso-position-horizontal-relative:page;mso-position-vertical:center;mso-position-vertical-relative:page;mso-width-percent:242;mso-height-percent:960;mso-left-percent:7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" fillcolor="#1f497d [3215]" stroked="f" strokeweight="2pt">
                    <v:path arrowok="t"/>
                    <v:textbox inset="14.4pt,,14.4pt">
                      <w:txbxContent>
                        <w:sdt>
                          <w:sdtPr>
                            <w:rPr>
                              <w:color w:val="FFFFFF" w:themeColor="background1"/>
                              <w:sz w:val="26"/>
                              <w:szCs w:val="26"/>
                            </w:rPr>
                            <w:alias w:val="Subtitle"/>
                            <w:id w:val="1066155948"/>
                            <w:showingPlcHdr/>
                            <w:dataBinding w:prefixMappings="xmlns:ns0='http://schemas.openxmlformats.org/package/2006/metadata/core-properties' xmlns:ns1='http://purl.org/dc/elements/1.1/'" w:xpath="/ns0:coreProperties[1]/ns1:subject[1]" w:storeItemID="{6C3C8BC8-F283-45AE-878A-BAB7291924A1}"/>
                            <w:text/>
                          </w:sdtPr>
                          <w:sdtEndPr/>
                          <w:sdtContent>
                            <w:p w:rsidR="00327D8A" w:rsidRPr="00677039" w:rsidRDefault="00961F64">
                              <w:pPr>
                                <w:pStyle w:val="Subtitle"/>
                                <w:rPr>
                                  <w:color w:val="FFFFFF" w:themeColor="background1"/>
                                  <w:sz w:val="26"/>
                                  <w:szCs w:val="26"/>
                                </w:rPr>
                              </w:pPr>
                              <w:r>
                                <w:rPr>
                                  <w:color w:val="FFFFFF" w:themeColor="background1"/>
                                  <w:sz w:val="26"/>
                                  <w:szCs w:val="26"/>
                                </w:rPr>
                                <w:t xml:space="preserve">     </w:t>
                              </w:r>
                            </w:p>
                          </w:sdtContent>
                        </w:sdt>
                      </w:txbxContent>
                    </v:textbox>
                    <w10:wrap anchorx="page" anchory="page"/>
                  </v:rect>
                </w:pict>
              </mc:Fallback>
            </mc:AlternateContent>
          </w:r>
        </w:p>
        <w:p w:rsidR="00327D8A" w:rsidRDefault="00327D8A"/>
        <w:p w:rsidR="00327D8A" w:rsidRPr="00327D8A" w:rsidRDefault="00327D8A" w:rsidP="00327D8A">
          <w:pPr>
            <w:rPr>
              <w:rFonts w:asciiTheme="majorHAnsi" w:eastAsiaTheme="majorEastAsia" w:hAnsiTheme="majorHAnsi" w:cstheme="majorBidi"/>
              <w:color w:val="17365D" w:themeColor="text2" w:themeShade="BF"/>
              <w:spacing w:val="5"/>
              <w:kern w:val="28"/>
              <w:sz w:val="52"/>
              <w:szCs w:val="52"/>
            </w:rPr>
          </w:pPr>
          <w:r>
            <w:br w:type="page"/>
          </w:r>
        </w:p>
      </w:sdtContent>
    </w:sdt>
    <w:p w:rsidR="00AF6796" w:rsidRDefault="00AF6796" w:rsidP="005D3597">
      <w:pPr>
        <w:pStyle w:val="Header"/>
        <w:rPr>
          <w:b/>
          <w:sz w:val="18"/>
          <w:szCs w:val="18"/>
        </w:rPr>
        <w:sectPr w:rsidR="00AF6796" w:rsidSect="00AF6796">
          <w:headerReference w:type="default" r:id="rId10"/>
          <w:footerReference w:type="default" r:id="rId11"/>
          <w:pgSz w:w="12240" w:h="15840"/>
          <w:pgMar w:top="1440" w:right="1440" w:bottom="1440" w:left="1440" w:header="708" w:footer="708" w:gutter="0"/>
          <w:pgNumType w:start="0"/>
          <w:cols w:space="708"/>
          <w:titlePg/>
          <w:docGrid w:linePitch="360"/>
        </w:sectPr>
      </w:pPr>
    </w:p>
    <w:p w:rsidR="006632C1" w:rsidRDefault="006632C1">
      <w:pPr>
        <w:rPr>
          <w:rFonts w:asciiTheme="majorHAnsi" w:hAnsiTheme="majorHAnsi"/>
          <w:sz w:val="48"/>
          <w:szCs w:val="48"/>
        </w:rPr>
      </w:pPr>
      <w:r>
        <w:rPr>
          <w:rFonts w:asciiTheme="majorHAnsi" w:hAnsiTheme="majorHAnsi"/>
          <w:sz w:val="48"/>
          <w:szCs w:val="48"/>
        </w:rPr>
        <w:lastRenderedPageBreak/>
        <w:br w:type="page"/>
      </w:r>
    </w:p>
    <w:p w:rsidR="006632C1" w:rsidRDefault="006632C1">
      <w:pPr>
        <w:rPr>
          <w:rFonts w:asciiTheme="majorHAnsi" w:hAnsiTheme="majorHAnsi"/>
          <w:sz w:val="48"/>
          <w:szCs w:val="48"/>
        </w:rPr>
        <w:sectPr w:rsidR="006632C1" w:rsidSect="00AF6796">
          <w:headerReference w:type="default" r:id="rId12"/>
          <w:headerReference w:type="first" r:id="rId13"/>
          <w:pgSz w:w="12240" w:h="15840"/>
          <w:pgMar w:top="1440" w:right="1440" w:bottom="1440" w:left="1440" w:header="708" w:footer="708" w:gutter="0"/>
          <w:pgNumType w:start="0"/>
          <w:cols w:space="708"/>
          <w:titlePg/>
          <w:docGrid w:linePitch="360"/>
        </w:sectPr>
      </w:pPr>
    </w:p>
    <w:p w:rsidR="006F68D6" w:rsidRPr="006F68D6" w:rsidRDefault="006F68D6" w:rsidP="002C65C5">
      <w:pPr>
        <w:spacing w:before="4920"/>
        <w:outlineLvl w:val="0"/>
        <w:rPr>
          <w:rFonts w:asciiTheme="majorHAnsi" w:hAnsiTheme="majorHAnsi"/>
          <w:sz w:val="48"/>
          <w:szCs w:val="48"/>
        </w:rPr>
      </w:pPr>
      <w:r w:rsidRPr="006F68D6">
        <w:rPr>
          <w:rFonts w:asciiTheme="majorHAnsi" w:hAnsiTheme="majorHAnsi"/>
          <w:sz w:val="48"/>
          <w:szCs w:val="48"/>
        </w:rPr>
        <w:lastRenderedPageBreak/>
        <w:t>Control Order Safeguards (INSLM) Report Special Advocates and the Counter-Terrorism Legislation Amendment Bill (No 1) 2015</w:t>
      </w:r>
    </w:p>
    <w:p w:rsidR="006F68D6" w:rsidRPr="006F68D6" w:rsidRDefault="006F68D6" w:rsidP="006F68D6">
      <w:pPr>
        <w:jc w:val="right"/>
        <w:rPr>
          <w:rFonts w:asciiTheme="majorHAnsi" w:hAnsiTheme="majorHAnsi"/>
          <w:i/>
          <w:sz w:val="26"/>
          <w:szCs w:val="26"/>
        </w:rPr>
      </w:pPr>
      <w:r w:rsidRPr="006F68D6">
        <w:rPr>
          <w:rFonts w:asciiTheme="majorHAnsi" w:hAnsiTheme="majorHAnsi"/>
          <w:i/>
          <w:sz w:val="26"/>
          <w:szCs w:val="26"/>
        </w:rPr>
        <w:t>The Hon Roger Gyles AO QC</w:t>
      </w:r>
    </w:p>
    <w:p w:rsidR="006F68D6" w:rsidRDefault="006F68D6">
      <w:pPr>
        <w:rPr>
          <w:sz w:val="20"/>
          <w:szCs w:val="20"/>
        </w:rPr>
      </w:pPr>
      <w:r>
        <w:rPr>
          <w:sz w:val="20"/>
          <w:szCs w:val="20"/>
        </w:rPr>
        <w:br w:type="page"/>
      </w:r>
    </w:p>
    <w:p w:rsidR="006F68D6" w:rsidRDefault="006F68D6" w:rsidP="003D0741">
      <w:pPr>
        <w:rPr>
          <w:sz w:val="20"/>
          <w:szCs w:val="20"/>
        </w:rPr>
        <w:sectPr w:rsidR="006F68D6" w:rsidSect="00AF6796">
          <w:pgSz w:w="12240" w:h="15840"/>
          <w:pgMar w:top="1440" w:right="1440" w:bottom="1440" w:left="1440" w:header="708" w:footer="708" w:gutter="0"/>
          <w:pgNumType w:start="0"/>
          <w:cols w:space="708"/>
          <w:titlePg/>
          <w:docGrid w:linePitch="360"/>
        </w:sectPr>
      </w:pPr>
    </w:p>
    <w:p w:rsidR="003D0741" w:rsidRDefault="003D0741" w:rsidP="003D0741">
      <w:pPr>
        <w:rPr>
          <w:sz w:val="20"/>
          <w:szCs w:val="20"/>
        </w:rPr>
      </w:pPr>
      <w:r>
        <w:rPr>
          <w:sz w:val="20"/>
          <w:szCs w:val="20"/>
        </w:rPr>
        <w:lastRenderedPageBreak/>
        <w:t>© Commonwealth of Australia 2016</w:t>
      </w:r>
    </w:p>
    <w:p w:rsidR="003D0741" w:rsidRDefault="003D0741" w:rsidP="003D0741">
      <w:pPr>
        <w:rPr>
          <w:sz w:val="20"/>
          <w:szCs w:val="20"/>
        </w:rPr>
      </w:pPr>
    </w:p>
    <w:p w:rsidR="003D0741" w:rsidRPr="004437DA" w:rsidRDefault="003D0741" w:rsidP="003D0741">
      <w:pPr>
        <w:rPr>
          <w:sz w:val="20"/>
          <w:szCs w:val="20"/>
        </w:rPr>
      </w:pPr>
      <w:r w:rsidRPr="004437DA">
        <w:rPr>
          <w:sz w:val="20"/>
          <w:szCs w:val="20"/>
        </w:rPr>
        <w:t>978-1-92538-29-7 INSLM Report – Control Order Safeguards (INSLM Report) Special Advocates and the Counter</w:t>
      </w:r>
      <w:r w:rsidRPr="004437DA">
        <w:rPr>
          <w:sz w:val="20"/>
          <w:szCs w:val="20"/>
        </w:rPr>
        <w:noBreakHyphen/>
        <w:t xml:space="preserve">Terrorism Legislation Amendment Bill (No 1) 2015 (Hardcopy) </w:t>
      </w:r>
    </w:p>
    <w:p w:rsidR="003D0741" w:rsidRPr="004437DA" w:rsidRDefault="003D0741" w:rsidP="003D0741">
      <w:pPr>
        <w:rPr>
          <w:sz w:val="20"/>
          <w:szCs w:val="20"/>
        </w:rPr>
      </w:pPr>
      <w:r w:rsidRPr="004437DA">
        <w:rPr>
          <w:rFonts w:asciiTheme="minorHAnsi" w:hAnsiTheme="minorHAnsi" w:cstheme="minorHAnsi"/>
          <w:sz w:val="20"/>
          <w:szCs w:val="20"/>
          <w:lang w:eastAsia="en-AU"/>
        </w:rPr>
        <w:t xml:space="preserve">978-1-925238-30-3 </w:t>
      </w:r>
      <w:r w:rsidRPr="004437DA">
        <w:rPr>
          <w:sz w:val="20"/>
          <w:szCs w:val="20"/>
        </w:rPr>
        <w:t>INSLM Report – Control Order Safeguards (INSLM Report) Special Advocates and the Counter</w:t>
      </w:r>
      <w:r w:rsidRPr="004437DA">
        <w:rPr>
          <w:sz w:val="20"/>
          <w:szCs w:val="20"/>
        </w:rPr>
        <w:noBreakHyphen/>
        <w:t xml:space="preserve">Terrorism Legislation Amendment Bill (No 1) 2015 (PDF) </w:t>
      </w:r>
    </w:p>
    <w:p w:rsidR="003D0741" w:rsidRPr="004437DA" w:rsidRDefault="003D0741" w:rsidP="003D0741">
      <w:pPr>
        <w:rPr>
          <w:rFonts w:asciiTheme="minorHAnsi" w:hAnsiTheme="minorHAnsi" w:cstheme="minorHAnsi"/>
          <w:sz w:val="20"/>
          <w:szCs w:val="20"/>
        </w:rPr>
      </w:pPr>
      <w:r w:rsidRPr="004437DA">
        <w:rPr>
          <w:rFonts w:asciiTheme="minorHAnsi" w:hAnsiTheme="minorHAnsi" w:cstheme="minorHAnsi"/>
          <w:sz w:val="20"/>
          <w:szCs w:val="20"/>
          <w:lang w:eastAsia="en-AU"/>
        </w:rPr>
        <w:t xml:space="preserve">978-1-925238-31-0 </w:t>
      </w:r>
      <w:r w:rsidRPr="004437DA">
        <w:rPr>
          <w:sz w:val="20"/>
          <w:szCs w:val="20"/>
        </w:rPr>
        <w:t>INSLM Report – Control Order Safeguards (INSLM Report) Special Advocates and the Counter</w:t>
      </w:r>
      <w:r w:rsidRPr="004437DA">
        <w:rPr>
          <w:sz w:val="20"/>
          <w:szCs w:val="20"/>
        </w:rPr>
        <w:noBreakHyphen/>
        <w:t>Terrorism Legislation Amendment Bill (No 1) 2015 (DOXC)</w:t>
      </w:r>
    </w:p>
    <w:p w:rsidR="003D0741" w:rsidRPr="004437DA" w:rsidRDefault="003D0741" w:rsidP="003D0741">
      <w:pPr>
        <w:spacing w:after="240"/>
        <w:rPr>
          <w:sz w:val="20"/>
          <w:szCs w:val="20"/>
        </w:rPr>
      </w:pPr>
    </w:p>
    <w:p w:rsidR="003D0741" w:rsidRPr="004437DA" w:rsidRDefault="003D0741" w:rsidP="003D0741">
      <w:pPr>
        <w:spacing w:after="120"/>
        <w:rPr>
          <w:sz w:val="20"/>
          <w:szCs w:val="20"/>
        </w:rPr>
      </w:pPr>
      <w:r w:rsidRPr="004437DA">
        <w:rPr>
          <w:rStyle w:val="Strong"/>
          <w:sz w:val="20"/>
          <w:szCs w:val="20"/>
        </w:rPr>
        <w:t>Copyright notice</w:t>
      </w:r>
    </w:p>
    <w:p w:rsidR="003D0741" w:rsidRPr="004437DA" w:rsidRDefault="003D0741" w:rsidP="003D0741">
      <w:pPr>
        <w:rPr>
          <w:sz w:val="20"/>
          <w:szCs w:val="20"/>
        </w:rPr>
      </w:pPr>
      <w:r w:rsidRPr="004437DA">
        <w:rPr>
          <w:sz w:val="20"/>
          <w:szCs w:val="20"/>
        </w:rPr>
        <w:t xml:space="preserve">With the exception of the Commonwealth Coat of Arms, this work is licensed under a Creative Commons Attribution 3.0 Australia </w:t>
      </w:r>
      <w:proofErr w:type="spellStart"/>
      <w:r w:rsidRPr="004437DA">
        <w:rPr>
          <w:sz w:val="20"/>
          <w:szCs w:val="20"/>
        </w:rPr>
        <w:t>licence</w:t>
      </w:r>
      <w:proofErr w:type="spellEnd"/>
      <w:r w:rsidRPr="004437DA">
        <w:rPr>
          <w:sz w:val="20"/>
          <w:szCs w:val="20"/>
        </w:rPr>
        <w:t xml:space="preserve"> (CC BY 3.0) (</w:t>
      </w:r>
      <w:hyperlink r:id="rId14" w:history="1">
        <w:r w:rsidRPr="004437DA">
          <w:rPr>
            <w:rStyle w:val="Hyperlink"/>
            <w:color w:val="0066CC"/>
            <w:sz w:val="20"/>
            <w:szCs w:val="20"/>
          </w:rPr>
          <w:t>http://creativecommons.org/licenses/by/3.0/au/deed.en</w:t>
        </w:r>
      </w:hyperlink>
      <w:r w:rsidRPr="004437DA">
        <w:rPr>
          <w:sz w:val="20"/>
          <w:szCs w:val="20"/>
        </w:rPr>
        <w:t>).</w:t>
      </w:r>
    </w:p>
    <w:p w:rsidR="003D0741" w:rsidRPr="004437DA" w:rsidRDefault="003D0741" w:rsidP="003D0741">
      <w:pPr>
        <w:rPr>
          <w:sz w:val="20"/>
          <w:szCs w:val="20"/>
        </w:rPr>
      </w:pPr>
      <w:r w:rsidRPr="004437DA">
        <w:rPr>
          <w:noProof/>
          <w:color w:val="0000FF"/>
          <w:sz w:val="20"/>
          <w:szCs w:val="20"/>
          <w:lang w:val="en-AU" w:eastAsia="en-AU"/>
        </w:rPr>
        <w:drawing>
          <wp:inline distT="0" distB="0" distL="0" distR="0" wp14:anchorId="5723C059" wp14:editId="119703F5">
            <wp:extent cx="835660" cy="283845"/>
            <wp:effectExtent l="0" t="0" r="2540" b="1905"/>
            <wp:docPr id="7" name="Picture 7" descr="ccby">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by">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35660" cy="283845"/>
                    </a:xfrm>
                    <a:prstGeom prst="rect">
                      <a:avLst/>
                    </a:prstGeom>
                    <a:noFill/>
                    <a:ln>
                      <a:noFill/>
                    </a:ln>
                  </pic:spPr>
                </pic:pic>
              </a:graphicData>
            </a:graphic>
          </wp:inline>
        </w:drawing>
      </w:r>
    </w:p>
    <w:p w:rsidR="003D0741" w:rsidRPr="004437DA" w:rsidRDefault="003D0741" w:rsidP="003D0741">
      <w:pPr>
        <w:rPr>
          <w:sz w:val="20"/>
          <w:szCs w:val="20"/>
        </w:rPr>
      </w:pPr>
      <w:r w:rsidRPr="004437DA">
        <w:rPr>
          <w:sz w:val="20"/>
          <w:szCs w:val="20"/>
        </w:rPr>
        <w:t xml:space="preserve">This work must be attributed as: ‘Commonwealth of Australia, Department of the Prime Minister and Cabinet, </w:t>
      </w:r>
      <w:r w:rsidR="004437DA" w:rsidRPr="004437DA">
        <w:rPr>
          <w:sz w:val="20"/>
          <w:szCs w:val="20"/>
        </w:rPr>
        <w:t>INSLM Report – Control Order Safeguards (INSLM Report) Special Advocates and the Counter</w:t>
      </w:r>
      <w:r w:rsidR="004437DA" w:rsidRPr="004437DA">
        <w:rPr>
          <w:sz w:val="20"/>
          <w:szCs w:val="20"/>
        </w:rPr>
        <w:noBreakHyphen/>
        <w:t>Terrorism Legislation Amendment Bill (No 1) 2015</w:t>
      </w:r>
      <w:r w:rsidRPr="004437DA">
        <w:rPr>
          <w:sz w:val="20"/>
          <w:szCs w:val="20"/>
        </w:rPr>
        <w:t>.’</w:t>
      </w:r>
    </w:p>
    <w:p w:rsidR="003D0741" w:rsidRPr="004437DA" w:rsidRDefault="003D0741" w:rsidP="003D0741">
      <w:pPr>
        <w:spacing w:after="120"/>
        <w:rPr>
          <w:rStyle w:val="Strong"/>
          <w:sz w:val="20"/>
          <w:szCs w:val="20"/>
        </w:rPr>
      </w:pPr>
      <w:r w:rsidRPr="004437DA">
        <w:rPr>
          <w:rStyle w:val="Strong"/>
          <w:sz w:val="20"/>
          <w:szCs w:val="20"/>
        </w:rPr>
        <w:t>Use of the Coat of Arms </w:t>
      </w:r>
    </w:p>
    <w:p w:rsidR="003D0741" w:rsidRPr="004437DA" w:rsidRDefault="003D0741" w:rsidP="003D0741">
      <w:pPr>
        <w:rPr>
          <w:sz w:val="20"/>
          <w:szCs w:val="20"/>
        </w:rPr>
      </w:pPr>
      <w:r w:rsidRPr="004437DA">
        <w:rPr>
          <w:sz w:val="20"/>
          <w:szCs w:val="20"/>
        </w:rPr>
        <w:t xml:space="preserve">The terms under which the Coat of Arms can be used are detailed on the following website: </w:t>
      </w:r>
      <w:hyperlink r:id="rId17" w:history="1">
        <w:r w:rsidRPr="004437DA">
          <w:rPr>
            <w:rStyle w:val="Hyperlink"/>
            <w:sz w:val="20"/>
            <w:szCs w:val="20"/>
          </w:rPr>
          <w:t>http://www.itsanhonour.gov.au/coat-arms/</w:t>
        </w:r>
      </w:hyperlink>
      <w:r w:rsidRPr="004437DA">
        <w:rPr>
          <w:sz w:val="20"/>
          <w:szCs w:val="20"/>
        </w:rPr>
        <w:t>.</w:t>
      </w:r>
    </w:p>
    <w:p w:rsidR="003D0741" w:rsidRPr="004437DA" w:rsidRDefault="003D0741" w:rsidP="003D0741">
      <w:pPr>
        <w:spacing w:after="120"/>
        <w:rPr>
          <w:rStyle w:val="Strong"/>
          <w:b w:val="0"/>
          <w:sz w:val="20"/>
          <w:szCs w:val="20"/>
        </w:rPr>
      </w:pPr>
      <w:r w:rsidRPr="004437DA">
        <w:rPr>
          <w:rStyle w:val="Strong"/>
          <w:sz w:val="20"/>
          <w:szCs w:val="20"/>
        </w:rPr>
        <w:t xml:space="preserve">Enquiries regarding the </w:t>
      </w:r>
      <w:proofErr w:type="spellStart"/>
      <w:r w:rsidRPr="004437DA">
        <w:rPr>
          <w:rStyle w:val="Strong"/>
          <w:sz w:val="20"/>
          <w:szCs w:val="20"/>
        </w:rPr>
        <w:t>licence</w:t>
      </w:r>
      <w:proofErr w:type="spellEnd"/>
      <w:r w:rsidRPr="004437DA">
        <w:rPr>
          <w:rStyle w:val="Strong"/>
          <w:sz w:val="20"/>
          <w:szCs w:val="20"/>
        </w:rPr>
        <w:t xml:space="preserve"> and any use of this work are welcome at:</w:t>
      </w:r>
    </w:p>
    <w:p w:rsidR="003D0741" w:rsidRPr="004437DA" w:rsidRDefault="003D0741" w:rsidP="003D0741">
      <w:pPr>
        <w:tabs>
          <w:tab w:val="center" w:pos="4513"/>
          <w:tab w:val="right" w:pos="9027"/>
        </w:tabs>
        <w:spacing w:before="180"/>
        <w:ind w:left="6663" w:right="-1" w:hanging="6663"/>
        <w:rPr>
          <w:sz w:val="20"/>
          <w:szCs w:val="20"/>
        </w:rPr>
      </w:pPr>
      <w:r w:rsidRPr="004437DA">
        <w:rPr>
          <w:sz w:val="20"/>
          <w:szCs w:val="20"/>
        </w:rPr>
        <w:t>The Independent National Security Legislation Monitor via the Department of the Prime Minister and Cabinet</w:t>
      </w:r>
    </w:p>
    <w:p w:rsidR="003D0741" w:rsidRPr="004437DA" w:rsidRDefault="003D0741" w:rsidP="003D0741">
      <w:pPr>
        <w:tabs>
          <w:tab w:val="center" w:pos="4513"/>
          <w:tab w:val="right" w:pos="9027"/>
        </w:tabs>
        <w:spacing w:before="180"/>
        <w:ind w:left="6663" w:right="-1" w:hanging="6663"/>
        <w:rPr>
          <w:sz w:val="20"/>
          <w:szCs w:val="20"/>
        </w:rPr>
      </w:pPr>
      <w:r w:rsidRPr="004437DA">
        <w:rPr>
          <w:sz w:val="20"/>
          <w:szCs w:val="20"/>
        </w:rPr>
        <w:t>PO Box 6500 Canberra ACT 2600</w:t>
      </w:r>
    </w:p>
    <w:p w:rsidR="003D0741" w:rsidRPr="004437DA" w:rsidRDefault="003D0741" w:rsidP="003D0741">
      <w:pPr>
        <w:tabs>
          <w:tab w:val="center" w:pos="4513"/>
          <w:tab w:val="right" w:pos="9027"/>
        </w:tabs>
        <w:spacing w:before="180"/>
        <w:ind w:left="6663" w:right="-1" w:hanging="6663"/>
        <w:rPr>
          <w:sz w:val="20"/>
          <w:szCs w:val="20"/>
        </w:rPr>
      </w:pPr>
      <w:r w:rsidRPr="004437DA">
        <w:rPr>
          <w:sz w:val="20"/>
          <w:szCs w:val="20"/>
        </w:rPr>
        <w:t xml:space="preserve">+61 2 6271 5111 </w:t>
      </w:r>
    </w:p>
    <w:p w:rsidR="00AF6796" w:rsidRPr="004437DA" w:rsidRDefault="00C760EF" w:rsidP="003D0741">
      <w:pPr>
        <w:tabs>
          <w:tab w:val="center" w:pos="4513"/>
          <w:tab w:val="right" w:pos="9027"/>
        </w:tabs>
        <w:spacing w:before="180"/>
        <w:ind w:left="6663" w:right="-1" w:hanging="6663"/>
        <w:rPr>
          <w:b/>
          <w:sz w:val="20"/>
          <w:szCs w:val="20"/>
        </w:rPr>
      </w:pPr>
      <w:hyperlink r:id="rId18" w:history="1">
        <w:r w:rsidR="003D0741" w:rsidRPr="004437DA">
          <w:rPr>
            <w:rStyle w:val="Hyperlink"/>
            <w:sz w:val="20"/>
            <w:szCs w:val="20"/>
          </w:rPr>
          <w:t>www.dpmc.gov.au</w:t>
        </w:r>
      </w:hyperlink>
    </w:p>
    <w:p w:rsidR="00AF6796" w:rsidRDefault="00AF6796">
      <w:pPr>
        <w:rPr>
          <w:b/>
          <w:sz w:val="18"/>
        </w:rPr>
      </w:pPr>
      <w:r>
        <w:rPr>
          <w:b/>
          <w:sz w:val="18"/>
        </w:rPr>
        <w:br w:type="page"/>
      </w:r>
    </w:p>
    <w:p w:rsidR="004437DA" w:rsidRDefault="004437DA">
      <w:pPr>
        <w:rPr>
          <w:b/>
          <w:sz w:val="18"/>
        </w:rPr>
        <w:sectPr w:rsidR="004437DA" w:rsidSect="00AF6796">
          <w:pgSz w:w="12240" w:h="15840"/>
          <w:pgMar w:top="1440" w:right="1440" w:bottom="1440" w:left="1440" w:header="708" w:footer="708" w:gutter="0"/>
          <w:pgNumType w:start="0"/>
          <w:cols w:space="708"/>
          <w:titlePg/>
          <w:docGrid w:linePitch="360"/>
        </w:sectPr>
      </w:pPr>
    </w:p>
    <w:p w:rsidR="00AF6796" w:rsidRDefault="00CB4692" w:rsidP="00CB4692">
      <w:pPr>
        <w:jc w:val="center"/>
        <w:rPr>
          <w:b/>
          <w:sz w:val="18"/>
        </w:rPr>
      </w:pPr>
      <w:r>
        <w:rPr>
          <w:b/>
          <w:noProof/>
          <w:sz w:val="18"/>
          <w:lang w:val="en-AU" w:eastAsia="en-AU"/>
        </w:rPr>
        <w:lastRenderedPageBreak/>
        <w:drawing>
          <wp:inline distT="0" distB="0" distL="0" distR="0">
            <wp:extent cx="3781425" cy="1461005"/>
            <wp:effectExtent l="0" t="0" r="0" b="0"/>
            <wp:docPr id="8" name="Picture 8" descr="Australian Government Independent National Security Legislation Monitor" title="Australian Government Independent National Security Legislation Moni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slm-logo-stacked.png"/>
                    <pic:cNvPicPr/>
                  </pic:nvPicPr>
                  <pic:blipFill>
                    <a:blip r:embed="rId19">
                      <a:extLst>
                        <a:ext uri="{28A0092B-C50C-407E-A947-70E740481C1C}">
                          <a14:useLocalDpi xmlns:a14="http://schemas.microsoft.com/office/drawing/2010/main" val="0"/>
                        </a:ext>
                      </a:extLst>
                    </a:blip>
                    <a:stretch>
                      <a:fillRect/>
                    </a:stretch>
                  </pic:blipFill>
                  <pic:spPr>
                    <a:xfrm>
                      <a:off x="0" y="0"/>
                      <a:ext cx="3789087" cy="1463965"/>
                    </a:xfrm>
                    <a:prstGeom prst="rect">
                      <a:avLst/>
                    </a:prstGeom>
                  </pic:spPr>
                </pic:pic>
              </a:graphicData>
            </a:graphic>
          </wp:inline>
        </w:drawing>
      </w:r>
    </w:p>
    <w:p w:rsidR="00A35168" w:rsidRDefault="005D3597" w:rsidP="00A35168">
      <w:pPr>
        <w:tabs>
          <w:tab w:val="right" w:pos="9027"/>
        </w:tabs>
        <w:spacing w:before="180" w:after="0"/>
        <w:ind w:left="6662" w:hanging="6662"/>
        <w:rPr>
          <w:b/>
          <w:sz w:val="18"/>
          <w:szCs w:val="18"/>
        </w:rPr>
      </w:pPr>
      <w:r>
        <w:rPr>
          <w:b/>
          <w:sz w:val="18"/>
        </w:rPr>
        <w:t>THE HON ROGER GYLES AO QC</w:t>
      </w:r>
      <w:r w:rsidR="00A35168">
        <w:rPr>
          <w:b/>
          <w:sz w:val="18"/>
          <w:szCs w:val="18"/>
        </w:rPr>
        <w:t xml:space="preserve"> </w:t>
      </w:r>
      <w:r w:rsidR="00A35168">
        <w:rPr>
          <w:b/>
          <w:sz w:val="18"/>
          <w:szCs w:val="18"/>
        </w:rPr>
        <w:tab/>
      </w:r>
      <w:r>
        <w:rPr>
          <w:b/>
          <w:sz w:val="18"/>
          <w:szCs w:val="18"/>
        </w:rPr>
        <w:t>O</w:t>
      </w:r>
      <w:r w:rsidRPr="007B52F0">
        <w:rPr>
          <w:b/>
          <w:sz w:val="18"/>
          <w:szCs w:val="18"/>
        </w:rPr>
        <w:t>NE NATIONAL</w:t>
      </w:r>
      <w:r>
        <w:rPr>
          <w:b/>
          <w:sz w:val="18"/>
          <w:szCs w:val="18"/>
        </w:rPr>
        <w:t xml:space="preserve"> C</w:t>
      </w:r>
      <w:r w:rsidRPr="007B52F0">
        <w:rPr>
          <w:b/>
          <w:sz w:val="18"/>
          <w:szCs w:val="18"/>
        </w:rPr>
        <w:t>IRCUIT</w:t>
      </w:r>
    </w:p>
    <w:p w:rsidR="005D3597" w:rsidRPr="006C1737" w:rsidRDefault="005D3597" w:rsidP="00A35168">
      <w:pPr>
        <w:tabs>
          <w:tab w:val="right" w:pos="9027"/>
        </w:tabs>
        <w:ind w:left="6662"/>
        <w:rPr>
          <w:b/>
          <w:sz w:val="18"/>
          <w:szCs w:val="18"/>
        </w:rPr>
      </w:pPr>
      <w:r w:rsidRPr="007B52F0">
        <w:rPr>
          <w:b/>
          <w:sz w:val="18"/>
          <w:szCs w:val="18"/>
        </w:rPr>
        <w:t>BARTON</w:t>
      </w:r>
      <w:r>
        <w:rPr>
          <w:b/>
          <w:sz w:val="18"/>
          <w:szCs w:val="18"/>
        </w:rPr>
        <w:t xml:space="preserve"> ACT</w:t>
      </w:r>
    </w:p>
    <w:p w:rsidR="005D3597" w:rsidRDefault="005D3597" w:rsidP="005D3597">
      <w:r>
        <w:t>29 January 2016</w:t>
      </w:r>
    </w:p>
    <w:p w:rsidR="005D3597" w:rsidRDefault="005D3597" w:rsidP="005D3597">
      <w:r>
        <w:t>The Hon Malcolm Turnbull MP</w:t>
      </w:r>
      <w:r>
        <w:br/>
        <w:t>Prime Minister</w:t>
      </w:r>
      <w:r>
        <w:br/>
        <w:t>Parliament House</w:t>
      </w:r>
      <w:r>
        <w:br/>
      </w:r>
      <w:proofErr w:type="gramStart"/>
      <w:r>
        <w:t>CANBERRA  ACT</w:t>
      </w:r>
      <w:proofErr w:type="gramEnd"/>
      <w:r>
        <w:t xml:space="preserve">  2600</w:t>
      </w:r>
    </w:p>
    <w:p w:rsidR="005D3597" w:rsidRDefault="005D3597" w:rsidP="005D3597"/>
    <w:p w:rsidR="005D3597" w:rsidRPr="00AF6796" w:rsidRDefault="005D3597" w:rsidP="00AF6796">
      <w:r>
        <w:t>Dear Prime Minister</w:t>
      </w:r>
    </w:p>
    <w:p w:rsidR="005D3597" w:rsidRPr="00B45CCB" w:rsidRDefault="005D3597" w:rsidP="005D3597">
      <w:pPr>
        <w:rPr>
          <w:b/>
        </w:rPr>
      </w:pPr>
      <w:r w:rsidRPr="00B45CCB">
        <w:rPr>
          <w:b/>
        </w:rPr>
        <w:t xml:space="preserve">Independent National </w:t>
      </w:r>
      <w:r>
        <w:rPr>
          <w:b/>
        </w:rPr>
        <w:t>S</w:t>
      </w:r>
      <w:r w:rsidRPr="00B45CCB">
        <w:rPr>
          <w:b/>
        </w:rPr>
        <w:t xml:space="preserve">ecurity Legislation Monitor </w:t>
      </w:r>
      <w:r>
        <w:rPr>
          <w:b/>
        </w:rPr>
        <w:t>I</w:t>
      </w:r>
      <w:r w:rsidRPr="00B45CCB">
        <w:rPr>
          <w:b/>
        </w:rPr>
        <w:t>nquiry into control order safeguards</w:t>
      </w:r>
    </w:p>
    <w:p w:rsidR="005D3597" w:rsidRDefault="005D3597" w:rsidP="00AF6796">
      <w:pPr>
        <w:jc w:val="both"/>
      </w:pPr>
      <w:r>
        <w:t xml:space="preserve">For the reasons explained in my letter of 16 December 2015, pursuant to section 30 of the </w:t>
      </w:r>
      <w:r w:rsidRPr="00AC23CA">
        <w:rPr>
          <w:i/>
        </w:rPr>
        <w:t>Independent National Security Monitor Act</w:t>
      </w:r>
      <w:r>
        <w:t xml:space="preserve"> </w:t>
      </w:r>
      <w:r w:rsidRPr="00AC23CA">
        <w:rPr>
          <w:i/>
        </w:rPr>
        <w:t>2010</w:t>
      </w:r>
      <w:r>
        <w:t xml:space="preserve"> I give you herewith the first part of my report on the section 7 reference as to control order safeguards. This Report does not include information of the kind referred to in subsection 29 (3) of the </w:t>
      </w:r>
      <w:r w:rsidRPr="00AC23CA">
        <w:rPr>
          <w:i/>
        </w:rPr>
        <w:t xml:space="preserve">Independent National Security </w:t>
      </w:r>
      <w:r w:rsidR="00737DC7">
        <w:rPr>
          <w:i/>
        </w:rPr>
        <w:t xml:space="preserve">Legislation </w:t>
      </w:r>
      <w:r w:rsidRPr="00AC23CA">
        <w:rPr>
          <w:i/>
        </w:rPr>
        <w:t>Monitor Act</w:t>
      </w:r>
      <w:r>
        <w:t xml:space="preserve"> </w:t>
      </w:r>
      <w:r w:rsidRPr="00AC23CA">
        <w:rPr>
          <w:i/>
        </w:rPr>
        <w:t>2010</w:t>
      </w:r>
      <w:r>
        <w:t xml:space="preserve">. </w:t>
      </w:r>
    </w:p>
    <w:p w:rsidR="00AF6796" w:rsidRPr="00AF6796" w:rsidRDefault="00AF6796" w:rsidP="00AF6796">
      <w:pPr>
        <w:jc w:val="both"/>
      </w:pPr>
    </w:p>
    <w:p w:rsidR="005D3597" w:rsidRDefault="005D3597" w:rsidP="005D3597">
      <w:pPr>
        <w:rPr>
          <w:rFonts w:cstheme="minorHAnsi"/>
        </w:rPr>
      </w:pPr>
      <w:r w:rsidRPr="00490C4A">
        <w:rPr>
          <w:rFonts w:cstheme="minorHAnsi"/>
        </w:rPr>
        <w:t>Yours sincerely</w:t>
      </w:r>
    </w:p>
    <w:p w:rsidR="005D3597" w:rsidRDefault="005D3597" w:rsidP="005D3597">
      <w:pPr>
        <w:rPr>
          <w:rFonts w:cstheme="minorHAnsi"/>
        </w:rPr>
      </w:pPr>
      <w:r>
        <w:rPr>
          <w:noProof/>
          <w:lang w:val="en-AU" w:eastAsia="en-AU"/>
        </w:rPr>
        <w:drawing>
          <wp:inline distT="0" distB="0" distL="0" distR="0" wp14:anchorId="413A8AD8" wp14:editId="7DED47DF">
            <wp:extent cx="1256152" cy="898498"/>
            <wp:effectExtent l="0" t="0" r="1270" b="0"/>
            <wp:docPr id="2" name="Picture 2" descr="Roger Gyles AO QC signature" title="Roger Gyles AO QC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3.png@01D159AC.361248F0"/>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1252521" cy="895901"/>
                    </a:xfrm>
                    <a:prstGeom prst="rect">
                      <a:avLst/>
                    </a:prstGeom>
                    <a:noFill/>
                    <a:ln>
                      <a:noFill/>
                    </a:ln>
                  </pic:spPr>
                </pic:pic>
              </a:graphicData>
            </a:graphic>
          </wp:inline>
        </w:drawing>
      </w:r>
    </w:p>
    <w:p w:rsidR="005D3597" w:rsidRPr="00490C4A" w:rsidRDefault="005D3597" w:rsidP="005D3597">
      <w:pPr>
        <w:rPr>
          <w:rFonts w:cstheme="minorHAnsi"/>
        </w:rPr>
      </w:pPr>
    </w:p>
    <w:p w:rsidR="005D3597" w:rsidRDefault="005D3597" w:rsidP="005D3597">
      <w:pPr>
        <w:spacing w:after="120"/>
      </w:pPr>
      <w:r>
        <w:t>Roger Gyles AO QC</w:t>
      </w:r>
      <w:r>
        <w:br/>
        <w:t>Independent National Security Legislation Monitor</w:t>
      </w:r>
    </w:p>
    <w:p w:rsidR="004437DA" w:rsidRDefault="004437DA" w:rsidP="00A35168">
      <w:r>
        <w:br w:type="page"/>
      </w:r>
    </w:p>
    <w:p w:rsidR="007F7FBE" w:rsidRDefault="007F7FBE" w:rsidP="00D1546C">
      <w:pPr>
        <w:pStyle w:val="Title"/>
        <w:sectPr w:rsidR="007F7FBE" w:rsidSect="00AF6796">
          <w:headerReference w:type="first" r:id="rId22"/>
          <w:pgSz w:w="12240" w:h="15840"/>
          <w:pgMar w:top="1440" w:right="1440" w:bottom="1440" w:left="1440" w:header="708" w:footer="708" w:gutter="0"/>
          <w:pgNumType w:start="0"/>
          <w:cols w:space="708"/>
          <w:titlePg/>
          <w:docGrid w:linePitch="360"/>
        </w:sectPr>
      </w:pPr>
    </w:p>
    <w:p w:rsidR="00D1546C" w:rsidRDefault="00D1546C" w:rsidP="00D1546C">
      <w:pPr>
        <w:pStyle w:val="Title"/>
      </w:pPr>
      <w:r>
        <w:lastRenderedPageBreak/>
        <w:t xml:space="preserve">Contents </w:t>
      </w:r>
    </w:p>
    <w:p w:rsidR="00D1546C" w:rsidRDefault="00D1546C">
      <w:pPr>
        <w:pStyle w:val="TOC1"/>
        <w:tabs>
          <w:tab w:val="left" w:pos="440"/>
          <w:tab w:val="right" w:leader="dot" w:pos="9350"/>
        </w:tabs>
        <w:rPr>
          <w:rFonts w:asciiTheme="minorHAnsi" w:eastAsiaTheme="minorEastAsia" w:hAnsiTheme="minorHAnsi" w:cstheme="minorBidi"/>
          <w:noProof/>
          <w:lang w:val="en-AU" w:eastAsia="en-AU"/>
        </w:rPr>
      </w:pPr>
      <w:r>
        <w:fldChar w:fldCharType="begin"/>
      </w:r>
      <w:r>
        <w:instrText xml:space="preserve"> TOC \o "1-1" \h \z \u </w:instrText>
      </w:r>
      <w:r>
        <w:fldChar w:fldCharType="separate"/>
      </w:r>
      <w:hyperlink w:anchor="_Toc441824930" w:history="1">
        <w:r w:rsidRPr="006574C9">
          <w:rPr>
            <w:rStyle w:val="Hyperlink"/>
            <w:noProof/>
          </w:rPr>
          <w:t>1</w:t>
        </w:r>
        <w:r>
          <w:rPr>
            <w:rFonts w:asciiTheme="minorHAnsi" w:eastAsiaTheme="minorEastAsia" w:hAnsiTheme="minorHAnsi" w:cstheme="minorBidi"/>
            <w:noProof/>
            <w:lang w:val="en-AU" w:eastAsia="en-AU"/>
          </w:rPr>
          <w:tab/>
        </w:r>
        <w:r w:rsidRPr="006574C9">
          <w:rPr>
            <w:rStyle w:val="Hyperlink"/>
            <w:noProof/>
          </w:rPr>
          <w:t>Introduction</w:t>
        </w:r>
        <w:r>
          <w:rPr>
            <w:noProof/>
            <w:webHidden/>
          </w:rPr>
          <w:tab/>
        </w:r>
        <w:r>
          <w:rPr>
            <w:noProof/>
            <w:webHidden/>
          </w:rPr>
          <w:fldChar w:fldCharType="begin"/>
        </w:r>
        <w:r>
          <w:rPr>
            <w:noProof/>
            <w:webHidden/>
          </w:rPr>
          <w:instrText xml:space="preserve"> PAGEREF _Toc441824930 \h </w:instrText>
        </w:r>
        <w:r>
          <w:rPr>
            <w:noProof/>
            <w:webHidden/>
          </w:rPr>
        </w:r>
        <w:r>
          <w:rPr>
            <w:noProof/>
            <w:webHidden/>
          </w:rPr>
          <w:fldChar w:fldCharType="separate"/>
        </w:r>
        <w:r w:rsidR="00E642CD">
          <w:rPr>
            <w:noProof/>
            <w:webHidden/>
          </w:rPr>
          <w:t>1</w:t>
        </w:r>
        <w:r>
          <w:rPr>
            <w:noProof/>
            <w:webHidden/>
          </w:rPr>
          <w:fldChar w:fldCharType="end"/>
        </w:r>
      </w:hyperlink>
    </w:p>
    <w:p w:rsidR="00D1546C" w:rsidRDefault="00C760EF">
      <w:pPr>
        <w:pStyle w:val="TOC1"/>
        <w:tabs>
          <w:tab w:val="left" w:pos="440"/>
          <w:tab w:val="right" w:leader="dot" w:pos="9350"/>
        </w:tabs>
        <w:rPr>
          <w:rFonts w:asciiTheme="minorHAnsi" w:eastAsiaTheme="minorEastAsia" w:hAnsiTheme="minorHAnsi" w:cstheme="minorBidi"/>
          <w:noProof/>
          <w:lang w:val="en-AU" w:eastAsia="en-AU"/>
        </w:rPr>
      </w:pPr>
      <w:hyperlink w:anchor="_Toc441824931" w:history="1">
        <w:r w:rsidR="00D1546C" w:rsidRPr="006574C9">
          <w:rPr>
            <w:rStyle w:val="Hyperlink"/>
            <w:noProof/>
          </w:rPr>
          <w:t>2</w:t>
        </w:r>
        <w:r w:rsidR="00D1546C">
          <w:rPr>
            <w:rFonts w:asciiTheme="minorHAnsi" w:eastAsiaTheme="minorEastAsia" w:hAnsiTheme="minorHAnsi" w:cstheme="minorBidi"/>
            <w:noProof/>
            <w:lang w:val="en-AU" w:eastAsia="en-AU"/>
          </w:rPr>
          <w:tab/>
        </w:r>
        <w:r w:rsidR="00D1546C" w:rsidRPr="006574C9">
          <w:rPr>
            <w:rStyle w:val="Hyperlink"/>
            <w:noProof/>
          </w:rPr>
          <w:t>The 2015 Bill</w:t>
        </w:r>
        <w:r w:rsidR="00D1546C">
          <w:rPr>
            <w:noProof/>
            <w:webHidden/>
          </w:rPr>
          <w:tab/>
        </w:r>
        <w:r w:rsidR="00D1546C">
          <w:rPr>
            <w:noProof/>
            <w:webHidden/>
          </w:rPr>
          <w:fldChar w:fldCharType="begin"/>
        </w:r>
        <w:r w:rsidR="00D1546C">
          <w:rPr>
            <w:noProof/>
            <w:webHidden/>
          </w:rPr>
          <w:instrText xml:space="preserve"> PAGEREF _Toc441824931 \h </w:instrText>
        </w:r>
        <w:r w:rsidR="00D1546C">
          <w:rPr>
            <w:noProof/>
            <w:webHidden/>
          </w:rPr>
        </w:r>
        <w:r w:rsidR="00D1546C">
          <w:rPr>
            <w:noProof/>
            <w:webHidden/>
          </w:rPr>
          <w:fldChar w:fldCharType="separate"/>
        </w:r>
        <w:r w:rsidR="00E642CD">
          <w:rPr>
            <w:noProof/>
            <w:webHidden/>
          </w:rPr>
          <w:t>2</w:t>
        </w:r>
        <w:r w:rsidR="00D1546C">
          <w:rPr>
            <w:noProof/>
            <w:webHidden/>
          </w:rPr>
          <w:fldChar w:fldCharType="end"/>
        </w:r>
      </w:hyperlink>
    </w:p>
    <w:p w:rsidR="00D1546C" w:rsidRDefault="00C760EF">
      <w:pPr>
        <w:pStyle w:val="TOC1"/>
        <w:tabs>
          <w:tab w:val="left" w:pos="440"/>
          <w:tab w:val="right" w:leader="dot" w:pos="9350"/>
        </w:tabs>
        <w:rPr>
          <w:rFonts w:asciiTheme="minorHAnsi" w:eastAsiaTheme="minorEastAsia" w:hAnsiTheme="minorHAnsi" w:cstheme="minorBidi"/>
          <w:noProof/>
          <w:lang w:val="en-AU" w:eastAsia="en-AU"/>
        </w:rPr>
      </w:pPr>
      <w:hyperlink w:anchor="_Toc441824932" w:history="1">
        <w:r w:rsidR="00D1546C" w:rsidRPr="006574C9">
          <w:rPr>
            <w:rStyle w:val="Hyperlink"/>
            <w:noProof/>
          </w:rPr>
          <w:t>3</w:t>
        </w:r>
        <w:r w:rsidR="00D1546C">
          <w:rPr>
            <w:rFonts w:asciiTheme="minorHAnsi" w:eastAsiaTheme="minorEastAsia" w:hAnsiTheme="minorHAnsi" w:cstheme="minorBidi"/>
            <w:noProof/>
            <w:lang w:val="en-AU" w:eastAsia="en-AU"/>
          </w:rPr>
          <w:tab/>
        </w:r>
        <w:r w:rsidR="00D1546C" w:rsidRPr="006574C9">
          <w:rPr>
            <w:rStyle w:val="Hyperlink"/>
            <w:noProof/>
          </w:rPr>
          <w:t>UK experience</w:t>
        </w:r>
        <w:r w:rsidR="00D1546C">
          <w:rPr>
            <w:noProof/>
            <w:webHidden/>
          </w:rPr>
          <w:tab/>
        </w:r>
        <w:r w:rsidR="00D1546C">
          <w:rPr>
            <w:noProof/>
            <w:webHidden/>
          </w:rPr>
          <w:fldChar w:fldCharType="begin"/>
        </w:r>
        <w:r w:rsidR="00D1546C">
          <w:rPr>
            <w:noProof/>
            <w:webHidden/>
          </w:rPr>
          <w:instrText xml:space="preserve"> PAGEREF _Toc441824932 \h </w:instrText>
        </w:r>
        <w:r w:rsidR="00D1546C">
          <w:rPr>
            <w:noProof/>
            <w:webHidden/>
          </w:rPr>
        </w:r>
        <w:r w:rsidR="00D1546C">
          <w:rPr>
            <w:noProof/>
            <w:webHidden/>
          </w:rPr>
          <w:fldChar w:fldCharType="separate"/>
        </w:r>
        <w:r w:rsidR="00E642CD">
          <w:rPr>
            <w:noProof/>
            <w:webHidden/>
          </w:rPr>
          <w:t>5</w:t>
        </w:r>
        <w:r w:rsidR="00D1546C">
          <w:rPr>
            <w:noProof/>
            <w:webHidden/>
          </w:rPr>
          <w:fldChar w:fldCharType="end"/>
        </w:r>
      </w:hyperlink>
    </w:p>
    <w:p w:rsidR="00D1546C" w:rsidRDefault="00C760EF">
      <w:pPr>
        <w:pStyle w:val="TOC1"/>
        <w:tabs>
          <w:tab w:val="left" w:pos="440"/>
          <w:tab w:val="right" w:leader="dot" w:pos="9350"/>
        </w:tabs>
        <w:rPr>
          <w:rFonts w:asciiTheme="minorHAnsi" w:eastAsiaTheme="minorEastAsia" w:hAnsiTheme="minorHAnsi" w:cstheme="minorBidi"/>
          <w:noProof/>
          <w:lang w:val="en-AU" w:eastAsia="en-AU"/>
        </w:rPr>
      </w:pPr>
      <w:hyperlink w:anchor="_Toc441824933" w:history="1">
        <w:r w:rsidR="00D1546C" w:rsidRPr="006574C9">
          <w:rPr>
            <w:rStyle w:val="Hyperlink"/>
            <w:noProof/>
          </w:rPr>
          <w:t>4</w:t>
        </w:r>
        <w:r w:rsidR="00D1546C">
          <w:rPr>
            <w:rFonts w:asciiTheme="minorHAnsi" w:eastAsiaTheme="minorEastAsia" w:hAnsiTheme="minorHAnsi" w:cstheme="minorBidi"/>
            <w:noProof/>
            <w:lang w:val="en-AU" w:eastAsia="en-AU"/>
          </w:rPr>
          <w:tab/>
        </w:r>
        <w:r w:rsidR="00D1546C" w:rsidRPr="006574C9">
          <w:rPr>
            <w:rStyle w:val="Hyperlink"/>
            <w:noProof/>
          </w:rPr>
          <w:t>Decision in principle</w:t>
        </w:r>
        <w:r w:rsidR="00D1546C">
          <w:rPr>
            <w:noProof/>
            <w:webHidden/>
          </w:rPr>
          <w:tab/>
        </w:r>
        <w:r w:rsidR="00D1546C">
          <w:rPr>
            <w:noProof/>
            <w:webHidden/>
          </w:rPr>
          <w:fldChar w:fldCharType="begin"/>
        </w:r>
        <w:r w:rsidR="00D1546C">
          <w:rPr>
            <w:noProof/>
            <w:webHidden/>
          </w:rPr>
          <w:instrText xml:space="preserve"> PAGEREF _Toc441824933 \h </w:instrText>
        </w:r>
        <w:r w:rsidR="00D1546C">
          <w:rPr>
            <w:noProof/>
            <w:webHidden/>
          </w:rPr>
        </w:r>
        <w:r w:rsidR="00D1546C">
          <w:rPr>
            <w:noProof/>
            <w:webHidden/>
          </w:rPr>
          <w:fldChar w:fldCharType="separate"/>
        </w:r>
        <w:r w:rsidR="00E642CD">
          <w:rPr>
            <w:noProof/>
            <w:webHidden/>
          </w:rPr>
          <w:t>6</w:t>
        </w:r>
        <w:r w:rsidR="00D1546C">
          <w:rPr>
            <w:noProof/>
            <w:webHidden/>
          </w:rPr>
          <w:fldChar w:fldCharType="end"/>
        </w:r>
      </w:hyperlink>
    </w:p>
    <w:p w:rsidR="00D1546C" w:rsidRDefault="00C760EF">
      <w:pPr>
        <w:pStyle w:val="TOC1"/>
        <w:tabs>
          <w:tab w:val="left" w:pos="440"/>
          <w:tab w:val="right" w:leader="dot" w:pos="9350"/>
        </w:tabs>
        <w:rPr>
          <w:rFonts w:asciiTheme="minorHAnsi" w:eastAsiaTheme="minorEastAsia" w:hAnsiTheme="minorHAnsi" w:cstheme="minorBidi"/>
          <w:noProof/>
          <w:lang w:val="en-AU" w:eastAsia="en-AU"/>
        </w:rPr>
      </w:pPr>
      <w:hyperlink w:anchor="_Toc441824934" w:history="1">
        <w:r w:rsidR="00D1546C" w:rsidRPr="006574C9">
          <w:rPr>
            <w:rStyle w:val="Hyperlink"/>
            <w:noProof/>
          </w:rPr>
          <w:t>5</w:t>
        </w:r>
        <w:r w:rsidR="00D1546C">
          <w:rPr>
            <w:rFonts w:asciiTheme="minorHAnsi" w:eastAsiaTheme="minorEastAsia" w:hAnsiTheme="minorHAnsi" w:cstheme="minorBidi"/>
            <w:noProof/>
            <w:lang w:val="en-AU" w:eastAsia="en-AU"/>
          </w:rPr>
          <w:tab/>
        </w:r>
        <w:r w:rsidR="00D1546C" w:rsidRPr="006574C9">
          <w:rPr>
            <w:rStyle w:val="Hyperlink"/>
            <w:noProof/>
          </w:rPr>
          <w:t>Australian Precedents</w:t>
        </w:r>
        <w:r w:rsidR="00D1546C">
          <w:rPr>
            <w:noProof/>
            <w:webHidden/>
          </w:rPr>
          <w:tab/>
        </w:r>
        <w:r w:rsidR="00D1546C">
          <w:rPr>
            <w:noProof/>
            <w:webHidden/>
          </w:rPr>
          <w:fldChar w:fldCharType="begin"/>
        </w:r>
        <w:r w:rsidR="00D1546C">
          <w:rPr>
            <w:noProof/>
            <w:webHidden/>
          </w:rPr>
          <w:instrText xml:space="preserve"> PAGEREF _Toc441824934 \h </w:instrText>
        </w:r>
        <w:r w:rsidR="00D1546C">
          <w:rPr>
            <w:noProof/>
            <w:webHidden/>
          </w:rPr>
        </w:r>
        <w:r w:rsidR="00D1546C">
          <w:rPr>
            <w:noProof/>
            <w:webHidden/>
          </w:rPr>
          <w:fldChar w:fldCharType="separate"/>
        </w:r>
        <w:r w:rsidR="00E642CD">
          <w:rPr>
            <w:noProof/>
            <w:webHidden/>
          </w:rPr>
          <w:t>7</w:t>
        </w:r>
        <w:r w:rsidR="00D1546C">
          <w:rPr>
            <w:noProof/>
            <w:webHidden/>
          </w:rPr>
          <w:fldChar w:fldCharType="end"/>
        </w:r>
      </w:hyperlink>
    </w:p>
    <w:p w:rsidR="00D1546C" w:rsidRDefault="00C760EF">
      <w:pPr>
        <w:pStyle w:val="TOC1"/>
        <w:tabs>
          <w:tab w:val="left" w:pos="440"/>
          <w:tab w:val="right" w:leader="dot" w:pos="9350"/>
        </w:tabs>
        <w:rPr>
          <w:rFonts w:asciiTheme="minorHAnsi" w:eastAsiaTheme="minorEastAsia" w:hAnsiTheme="minorHAnsi" w:cstheme="minorBidi"/>
          <w:noProof/>
          <w:lang w:val="en-AU" w:eastAsia="en-AU"/>
        </w:rPr>
      </w:pPr>
      <w:hyperlink w:anchor="_Toc441824935" w:history="1">
        <w:r w:rsidR="00D1546C" w:rsidRPr="006574C9">
          <w:rPr>
            <w:rStyle w:val="Hyperlink"/>
            <w:noProof/>
          </w:rPr>
          <w:t>6</w:t>
        </w:r>
        <w:r w:rsidR="00D1546C">
          <w:rPr>
            <w:rFonts w:asciiTheme="minorHAnsi" w:eastAsiaTheme="minorEastAsia" w:hAnsiTheme="minorHAnsi" w:cstheme="minorBidi"/>
            <w:noProof/>
            <w:lang w:val="en-AU" w:eastAsia="en-AU"/>
          </w:rPr>
          <w:tab/>
        </w:r>
        <w:r w:rsidR="00D1546C" w:rsidRPr="006574C9">
          <w:rPr>
            <w:rStyle w:val="Hyperlink"/>
            <w:noProof/>
          </w:rPr>
          <w:t>Support</w:t>
        </w:r>
        <w:r w:rsidR="00904F8A">
          <w:rPr>
            <w:rStyle w:val="Hyperlink"/>
            <w:noProof/>
          </w:rPr>
          <w:t xml:space="preserve"> for Special Advocates</w:t>
        </w:r>
        <w:r w:rsidR="00D1546C">
          <w:rPr>
            <w:noProof/>
            <w:webHidden/>
          </w:rPr>
          <w:tab/>
        </w:r>
        <w:r w:rsidR="00D1546C">
          <w:rPr>
            <w:noProof/>
            <w:webHidden/>
          </w:rPr>
          <w:fldChar w:fldCharType="begin"/>
        </w:r>
        <w:r w:rsidR="00D1546C">
          <w:rPr>
            <w:noProof/>
            <w:webHidden/>
          </w:rPr>
          <w:instrText xml:space="preserve"> PAGEREF _Toc441824935 \h </w:instrText>
        </w:r>
        <w:r w:rsidR="00D1546C">
          <w:rPr>
            <w:noProof/>
            <w:webHidden/>
          </w:rPr>
        </w:r>
        <w:r w:rsidR="00D1546C">
          <w:rPr>
            <w:noProof/>
            <w:webHidden/>
          </w:rPr>
          <w:fldChar w:fldCharType="separate"/>
        </w:r>
        <w:r w:rsidR="00E642CD">
          <w:rPr>
            <w:noProof/>
            <w:webHidden/>
          </w:rPr>
          <w:t>9</w:t>
        </w:r>
        <w:r w:rsidR="00D1546C">
          <w:rPr>
            <w:noProof/>
            <w:webHidden/>
          </w:rPr>
          <w:fldChar w:fldCharType="end"/>
        </w:r>
      </w:hyperlink>
    </w:p>
    <w:p w:rsidR="00D1546C" w:rsidRDefault="00C760EF">
      <w:pPr>
        <w:pStyle w:val="TOC1"/>
        <w:tabs>
          <w:tab w:val="left" w:pos="440"/>
          <w:tab w:val="right" w:leader="dot" w:pos="9350"/>
        </w:tabs>
        <w:rPr>
          <w:rFonts w:asciiTheme="minorHAnsi" w:eastAsiaTheme="minorEastAsia" w:hAnsiTheme="minorHAnsi" w:cstheme="minorBidi"/>
          <w:noProof/>
          <w:lang w:val="en-AU" w:eastAsia="en-AU"/>
        </w:rPr>
      </w:pPr>
      <w:hyperlink w:anchor="_Toc441824936" w:history="1">
        <w:r w:rsidR="00D1546C" w:rsidRPr="006574C9">
          <w:rPr>
            <w:rStyle w:val="Hyperlink"/>
            <w:noProof/>
          </w:rPr>
          <w:t>7</w:t>
        </w:r>
        <w:r w:rsidR="00D1546C">
          <w:rPr>
            <w:rFonts w:asciiTheme="minorHAnsi" w:eastAsiaTheme="minorEastAsia" w:hAnsiTheme="minorHAnsi" w:cstheme="minorBidi"/>
            <w:noProof/>
            <w:lang w:val="en-AU" w:eastAsia="en-AU"/>
          </w:rPr>
          <w:tab/>
        </w:r>
        <w:r w:rsidR="00D1546C" w:rsidRPr="006574C9">
          <w:rPr>
            <w:rStyle w:val="Hyperlink"/>
            <w:noProof/>
          </w:rPr>
          <w:t>What kind of advocate?</w:t>
        </w:r>
        <w:r w:rsidR="00D1546C">
          <w:rPr>
            <w:noProof/>
            <w:webHidden/>
          </w:rPr>
          <w:tab/>
        </w:r>
        <w:r w:rsidR="00D1546C">
          <w:rPr>
            <w:noProof/>
            <w:webHidden/>
          </w:rPr>
          <w:fldChar w:fldCharType="begin"/>
        </w:r>
        <w:r w:rsidR="00D1546C">
          <w:rPr>
            <w:noProof/>
            <w:webHidden/>
          </w:rPr>
          <w:instrText xml:space="preserve"> PAGEREF _Toc441824936 \h </w:instrText>
        </w:r>
        <w:r w:rsidR="00D1546C">
          <w:rPr>
            <w:noProof/>
            <w:webHidden/>
          </w:rPr>
        </w:r>
        <w:r w:rsidR="00D1546C">
          <w:rPr>
            <w:noProof/>
            <w:webHidden/>
          </w:rPr>
          <w:fldChar w:fldCharType="separate"/>
        </w:r>
        <w:r w:rsidR="00E642CD">
          <w:rPr>
            <w:noProof/>
            <w:webHidden/>
          </w:rPr>
          <w:t>9</w:t>
        </w:r>
        <w:r w:rsidR="00D1546C">
          <w:rPr>
            <w:noProof/>
            <w:webHidden/>
          </w:rPr>
          <w:fldChar w:fldCharType="end"/>
        </w:r>
      </w:hyperlink>
    </w:p>
    <w:p w:rsidR="00D1546C" w:rsidRDefault="00C760EF">
      <w:pPr>
        <w:pStyle w:val="TOC1"/>
        <w:tabs>
          <w:tab w:val="right" w:leader="dot" w:pos="9350"/>
        </w:tabs>
        <w:rPr>
          <w:rFonts w:asciiTheme="minorHAnsi" w:eastAsiaTheme="minorEastAsia" w:hAnsiTheme="minorHAnsi" w:cstheme="minorBidi"/>
          <w:noProof/>
          <w:lang w:val="en-AU" w:eastAsia="en-AU"/>
        </w:rPr>
      </w:pPr>
      <w:hyperlink w:anchor="_Toc441824937" w:history="1">
        <w:r w:rsidR="00D1546C" w:rsidRPr="006574C9">
          <w:rPr>
            <w:rStyle w:val="Hyperlink"/>
            <w:noProof/>
          </w:rPr>
          <w:t>RECOMMENDATIONS</w:t>
        </w:r>
        <w:r w:rsidR="00D1546C">
          <w:rPr>
            <w:noProof/>
            <w:webHidden/>
          </w:rPr>
          <w:tab/>
        </w:r>
        <w:r w:rsidR="00D1546C">
          <w:rPr>
            <w:noProof/>
            <w:webHidden/>
          </w:rPr>
          <w:fldChar w:fldCharType="begin"/>
        </w:r>
        <w:r w:rsidR="00D1546C">
          <w:rPr>
            <w:noProof/>
            <w:webHidden/>
          </w:rPr>
          <w:instrText xml:space="preserve"> PAGEREF _Toc441824937 \h </w:instrText>
        </w:r>
        <w:r w:rsidR="00D1546C">
          <w:rPr>
            <w:noProof/>
            <w:webHidden/>
          </w:rPr>
        </w:r>
        <w:r w:rsidR="00D1546C">
          <w:rPr>
            <w:noProof/>
            <w:webHidden/>
          </w:rPr>
          <w:fldChar w:fldCharType="separate"/>
        </w:r>
        <w:r w:rsidR="00E642CD">
          <w:rPr>
            <w:noProof/>
            <w:webHidden/>
          </w:rPr>
          <w:t>10</w:t>
        </w:r>
        <w:r w:rsidR="00D1546C">
          <w:rPr>
            <w:noProof/>
            <w:webHidden/>
          </w:rPr>
          <w:fldChar w:fldCharType="end"/>
        </w:r>
      </w:hyperlink>
    </w:p>
    <w:p w:rsidR="00AF6796" w:rsidRPr="00BE0E66" w:rsidRDefault="00D1546C">
      <w:r>
        <w:fldChar w:fldCharType="end"/>
      </w:r>
    </w:p>
    <w:p w:rsidR="00AF6796" w:rsidRDefault="00AF6796">
      <w:pPr>
        <w:rPr>
          <w:rFonts w:asciiTheme="majorHAnsi" w:hAnsiTheme="majorHAnsi" w:cstheme="minorHAnsi"/>
          <w:b/>
          <w:color w:val="1F497D" w:themeColor="text2"/>
          <w:sz w:val="32"/>
          <w:szCs w:val="32"/>
        </w:rPr>
      </w:pPr>
      <w:r>
        <w:rPr>
          <w:rFonts w:asciiTheme="majorHAnsi" w:hAnsiTheme="majorHAnsi" w:cstheme="minorHAnsi"/>
          <w:b/>
          <w:color w:val="1F497D" w:themeColor="text2"/>
          <w:sz w:val="32"/>
          <w:szCs w:val="32"/>
        </w:rPr>
        <w:br w:type="page"/>
      </w:r>
    </w:p>
    <w:p w:rsidR="004437DA" w:rsidRPr="00357717" w:rsidRDefault="000D4093" w:rsidP="00E37F91">
      <w:pPr>
        <w:pStyle w:val="h2"/>
      </w:pPr>
      <w:bookmarkStart w:id="0" w:name="_Toc441824930"/>
      <w:r w:rsidRPr="00357717">
        <w:lastRenderedPageBreak/>
        <w:t>Introduction</w:t>
      </w:r>
      <w:bookmarkEnd w:id="0"/>
    </w:p>
    <w:p w:rsidR="000D4093" w:rsidRPr="00357717" w:rsidRDefault="000D4093" w:rsidP="00A35168">
      <w:pPr>
        <w:pStyle w:val="List1"/>
        <w:rPr>
          <w:b/>
        </w:rPr>
      </w:pPr>
      <w:r w:rsidRPr="00A35168">
        <w:t xml:space="preserve">The then Prime Minister referred the following matter to me pursuant to s 7 of the </w:t>
      </w:r>
      <w:r w:rsidRPr="00A35168">
        <w:rPr>
          <w:i/>
        </w:rPr>
        <w:t>I</w:t>
      </w:r>
      <w:r w:rsidR="00D44F09" w:rsidRPr="00A35168">
        <w:rPr>
          <w:i/>
        </w:rPr>
        <w:t>ndependent</w:t>
      </w:r>
      <w:r w:rsidR="00D44F09" w:rsidRPr="00357717">
        <w:rPr>
          <w:i/>
        </w:rPr>
        <w:t xml:space="preserve"> </w:t>
      </w:r>
      <w:r w:rsidRPr="00357717">
        <w:rPr>
          <w:i/>
        </w:rPr>
        <w:t>N</w:t>
      </w:r>
      <w:r w:rsidR="00D44F09" w:rsidRPr="00357717">
        <w:rPr>
          <w:i/>
        </w:rPr>
        <w:t xml:space="preserve">ational </w:t>
      </w:r>
      <w:r w:rsidRPr="00357717">
        <w:rPr>
          <w:i/>
        </w:rPr>
        <w:t>S</w:t>
      </w:r>
      <w:r w:rsidR="00D44F09" w:rsidRPr="00357717">
        <w:rPr>
          <w:i/>
        </w:rPr>
        <w:t xml:space="preserve">ecurity </w:t>
      </w:r>
      <w:r w:rsidRPr="00357717">
        <w:rPr>
          <w:i/>
        </w:rPr>
        <w:t>L</w:t>
      </w:r>
      <w:r w:rsidR="00D44F09" w:rsidRPr="00357717">
        <w:rPr>
          <w:i/>
        </w:rPr>
        <w:t xml:space="preserve">egislation </w:t>
      </w:r>
      <w:r w:rsidRPr="00357717">
        <w:rPr>
          <w:i/>
        </w:rPr>
        <w:t>M</w:t>
      </w:r>
      <w:r w:rsidR="00D44F09" w:rsidRPr="00357717">
        <w:rPr>
          <w:i/>
        </w:rPr>
        <w:t>onitor</w:t>
      </w:r>
      <w:r w:rsidRPr="00357717">
        <w:rPr>
          <w:i/>
        </w:rPr>
        <w:t xml:space="preserve"> Act</w:t>
      </w:r>
      <w:r w:rsidR="00D44F09" w:rsidRPr="00357717">
        <w:rPr>
          <w:i/>
        </w:rPr>
        <w:t xml:space="preserve"> 2010</w:t>
      </w:r>
      <w:r w:rsidR="007F7FBE">
        <w:t xml:space="preserve"> </w:t>
      </w:r>
      <w:r w:rsidR="00D44F09" w:rsidRPr="00357717">
        <w:t>(INSLM Act)</w:t>
      </w:r>
      <w:r w:rsidR="00C10331" w:rsidRPr="00357717">
        <w:t>:</w:t>
      </w:r>
    </w:p>
    <w:p w:rsidR="00CE1B09" w:rsidRPr="00A35168" w:rsidRDefault="003C3024" w:rsidP="00A35168">
      <w:pPr>
        <w:spacing w:before="120"/>
        <w:ind w:left="567"/>
        <w:rPr>
          <w:b/>
          <w:i/>
          <w:sz w:val="20"/>
          <w:szCs w:val="20"/>
        </w:rPr>
      </w:pPr>
      <w:r w:rsidRPr="00A35168">
        <w:rPr>
          <w:i/>
          <w:sz w:val="20"/>
          <w:szCs w:val="20"/>
        </w:rPr>
        <w:t>… w</w:t>
      </w:r>
      <w:r w:rsidR="000D4093" w:rsidRPr="00A35168">
        <w:rPr>
          <w:i/>
          <w:sz w:val="20"/>
          <w:szCs w:val="20"/>
        </w:rPr>
        <w:t>hether the additional safeguards recommended in the 2013 Council of Australia</w:t>
      </w:r>
      <w:r w:rsidR="006E58C3" w:rsidRPr="00A35168">
        <w:rPr>
          <w:i/>
          <w:sz w:val="20"/>
          <w:szCs w:val="20"/>
        </w:rPr>
        <w:t>n Governments Review of Counter</w:t>
      </w:r>
      <w:r w:rsidR="006E58C3" w:rsidRPr="00A35168">
        <w:rPr>
          <w:i/>
          <w:sz w:val="20"/>
          <w:szCs w:val="20"/>
        </w:rPr>
        <w:noBreakHyphen/>
      </w:r>
      <w:r w:rsidR="000D4093" w:rsidRPr="00A35168">
        <w:rPr>
          <w:i/>
          <w:sz w:val="20"/>
          <w:szCs w:val="20"/>
        </w:rPr>
        <w:t>Terrorism Legislation in relation to the control order regime should be introduced, with particular consideration given to the advisability of introducing a system of special advocates into the regime, as recommended in the</w:t>
      </w:r>
      <w:r w:rsidR="006538AD" w:rsidRPr="00A35168">
        <w:rPr>
          <w:i/>
          <w:sz w:val="20"/>
          <w:szCs w:val="20"/>
        </w:rPr>
        <w:t xml:space="preserve"> advisory report on the Counter</w:t>
      </w:r>
      <w:r w:rsidR="006538AD" w:rsidRPr="00A35168">
        <w:rPr>
          <w:i/>
          <w:sz w:val="20"/>
          <w:szCs w:val="20"/>
        </w:rPr>
        <w:noBreakHyphen/>
      </w:r>
      <w:r w:rsidR="000D4093" w:rsidRPr="00A35168">
        <w:rPr>
          <w:i/>
          <w:sz w:val="20"/>
          <w:szCs w:val="20"/>
        </w:rPr>
        <w:t xml:space="preserve">Terrorism Legislation Amendment </w:t>
      </w:r>
      <w:r w:rsidR="00D26AFA" w:rsidRPr="00A35168">
        <w:rPr>
          <w:i/>
          <w:sz w:val="20"/>
          <w:szCs w:val="20"/>
        </w:rPr>
        <w:t xml:space="preserve">Bill </w:t>
      </w:r>
      <w:r w:rsidR="000D4093" w:rsidRPr="00A35168">
        <w:rPr>
          <w:i/>
          <w:sz w:val="20"/>
          <w:szCs w:val="20"/>
        </w:rPr>
        <w:t>(No</w:t>
      </w:r>
      <w:r w:rsidR="00C6431E" w:rsidRPr="00A35168">
        <w:rPr>
          <w:i/>
          <w:sz w:val="20"/>
          <w:szCs w:val="20"/>
        </w:rPr>
        <w:t> </w:t>
      </w:r>
      <w:r w:rsidR="000D4093" w:rsidRPr="00A35168">
        <w:rPr>
          <w:i/>
          <w:sz w:val="20"/>
          <w:szCs w:val="20"/>
        </w:rPr>
        <w:t xml:space="preserve">1) 2014 by the Parliamentary Joint Committee on Intelligence and Security </w:t>
      </w:r>
      <w:r w:rsidRPr="00A35168">
        <w:rPr>
          <w:i/>
          <w:sz w:val="20"/>
          <w:szCs w:val="20"/>
        </w:rPr>
        <w:t xml:space="preserve">(PJCIS) – </w:t>
      </w:r>
      <w:r w:rsidR="000D4093" w:rsidRPr="00A35168">
        <w:rPr>
          <w:i/>
          <w:sz w:val="20"/>
          <w:szCs w:val="20"/>
        </w:rPr>
        <w:t>tabled on 20 November 2014.</w:t>
      </w:r>
    </w:p>
    <w:p w:rsidR="000D4093" w:rsidRPr="00A4723B" w:rsidRDefault="000D4093" w:rsidP="00A35168">
      <w:pPr>
        <w:pStyle w:val="List1"/>
        <w:rPr>
          <w:b/>
        </w:rPr>
      </w:pPr>
      <w:r w:rsidRPr="00A4723B">
        <w:t xml:space="preserve">The </w:t>
      </w:r>
      <w:r w:rsidR="00082E23" w:rsidRPr="00A4723B">
        <w:t xml:space="preserve">2013 </w:t>
      </w:r>
      <w:r w:rsidR="00517AB1" w:rsidRPr="00A4723B">
        <w:t>Co</w:t>
      </w:r>
      <w:r w:rsidR="00082E23" w:rsidRPr="00A4723B">
        <w:t>uncil</w:t>
      </w:r>
      <w:r w:rsidR="00517AB1" w:rsidRPr="00A4723B">
        <w:t xml:space="preserve"> of Australian Governments</w:t>
      </w:r>
      <w:r w:rsidR="00082E23" w:rsidRPr="00A4723B">
        <w:t xml:space="preserve"> Review of Counter-Terrorism Legislation</w:t>
      </w:r>
      <w:r w:rsidR="00517AB1" w:rsidRPr="00A4723B">
        <w:t xml:space="preserve"> </w:t>
      </w:r>
      <w:r w:rsidR="006E58C3" w:rsidRPr="00A4723B">
        <w:t>(the COAG </w:t>
      </w:r>
      <w:r w:rsidR="00843DB8" w:rsidRPr="00A4723B">
        <w:t>Review</w:t>
      </w:r>
      <w:r w:rsidR="00E661E9" w:rsidRPr="00A4723B">
        <w:t>) recommendation</w:t>
      </w:r>
      <w:r w:rsidRPr="00A4723B">
        <w:t xml:space="preserve"> in relation to special advocates is as follows:</w:t>
      </w:r>
    </w:p>
    <w:p w:rsidR="0057352F" w:rsidRPr="00A35168" w:rsidRDefault="0057352F" w:rsidP="00A35168">
      <w:pPr>
        <w:spacing w:before="120"/>
        <w:ind w:left="567"/>
        <w:rPr>
          <w:b/>
          <w:i/>
          <w:sz w:val="20"/>
          <w:szCs w:val="20"/>
        </w:rPr>
      </w:pPr>
      <w:r w:rsidRPr="00A35168">
        <w:rPr>
          <w:i/>
          <w:sz w:val="20"/>
          <w:szCs w:val="20"/>
        </w:rPr>
        <w:t>RECCOMENDATION 30: Criminal Code – Control orders – Special Advocates</w:t>
      </w:r>
    </w:p>
    <w:p w:rsidR="00A4723B" w:rsidRPr="00A35168" w:rsidRDefault="000D4093" w:rsidP="00A35168">
      <w:pPr>
        <w:pStyle w:val="List1"/>
        <w:rPr>
          <w:b/>
        </w:rPr>
      </w:pPr>
      <w:r w:rsidRPr="00A35168">
        <w:t>The Committee recommends that the Government give consideration to amending the legislation to provide for the introduction of a nationwide system of ‘Special Advocates’ to participate in control order proceedings. The system could allow each State and Territory to have a panel of security-cleared barristers and solicitors who may participate in closed material procedures whenever necessary including, but not limited to, any proposed confirmation of a control order, any revocation or variation application, or in any appeal or review application to a superior court relating to or concerning a control order.</w:t>
      </w:r>
      <w:r w:rsidRPr="00A35168">
        <w:rPr>
          <w:rStyle w:val="FootnoteReference"/>
          <w:i/>
          <w:sz w:val="20"/>
          <w:szCs w:val="20"/>
        </w:rPr>
        <w:footnoteReference w:id="1"/>
      </w:r>
    </w:p>
    <w:p w:rsidR="00A4723B" w:rsidRPr="00A4723B" w:rsidRDefault="00D44F09" w:rsidP="00A35168">
      <w:pPr>
        <w:pStyle w:val="List1"/>
        <w:rPr>
          <w:b/>
          <w:lang w:val="en-AU"/>
        </w:rPr>
      </w:pPr>
      <w:r w:rsidRPr="00A4723B">
        <w:rPr>
          <w:lang w:val="en-AU"/>
        </w:rPr>
        <w:t xml:space="preserve">The </w:t>
      </w:r>
      <w:r w:rsidR="00C10331" w:rsidRPr="00A4723B">
        <w:t>Parliamentary Joint Committee on Intelligence and Security (</w:t>
      </w:r>
      <w:r w:rsidRPr="00A4723B">
        <w:rPr>
          <w:lang w:val="en-AU"/>
        </w:rPr>
        <w:t>PJCIS</w:t>
      </w:r>
      <w:r w:rsidR="00C10331" w:rsidRPr="00A4723B">
        <w:rPr>
          <w:lang w:val="en-AU"/>
        </w:rPr>
        <w:t>)</w:t>
      </w:r>
      <w:r w:rsidRPr="00A4723B">
        <w:rPr>
          <w:lang w:val="en-AU"/>
        </w:rPr>
        <w:t xml:space="preserve"> recommended that the INSLM ‘consider whether the additional safeguards recommended in the 2013 Council of </w:t>
      </w:r>
      <w:bookmarkStart w:id="1" w:name="_GoBack"/>
      <w:bookmarkEnd w:id="1"/>
      <w:r w:rsidRPr="00A4723B">
        <w:rPr>
          <w:lang w:val="en-AU"/>
        </w:rPr>
        <w:t xml:space="preserve">Australian Governments Review of Counter-Terrorism Legislation should be introduced. Particular consideration should be given to the advisability of introducing a system of </w:t>
      </w:r>
      <w:r w:rsidR="005622BF" w:rsidRPr="00A4723B">
        <w:rPr>
          <w:lang w:val="en-AU"/>
        </w:rPr>
        <w:t>‘</w:t>
      </w:r>
      <w:r w:rsidRPr="00A4723B">
        <w:rPr>
          <w:lang w:val="en-AU"/>
        </w:rPr>
        <w:t>Special Advocates</w:t>
      </w:r>
      <w:r w:rsidR="005622BF" w:rsidRPr="00A4723B">
        <w:rPr>
          <w:lang w:val="en-AU"/>
        </w:rPr>
        <w:t>’</w:t>
      </w:r>
      <w:r w:rsidRPr="00A4723B">
        <w:rPr>
          <w:lang w:val="en-AU"/>
        </w:rPr>
        <w:t xml:space="preserve"> into the Regime.’</w:t>
      </w:r>
      <w:r w:rsidRPr="00A4723B">
        <w:rPr>
          <w:rStyle w:val="FootnoteReference"/>
          <w:lang w:val="en-AU"/>
        </w:rPr>
        <w:footnoteReference w:id="2"/>
      </w:r>
    </w:p>
    <w:p w:rsidR="00A4723B" w:rsidRPr="00A4723B" w:rsidRDefault="004312A5" w:rsidP="00A35168">
      <w:pPr>
        <w:pStyle w:val="List1"/>
        <w:rPr>
          <w:b/>
        </w:rPr>
      </w:pPr>
      <w:r w:rsidRPr="00A4723B">
        <w:t>O</w:t>
      </w:r>
      <w:r w:rsidR="000D4093" w:rsidRPr="00A4723B">
        <w:t xml:space="preserve">ther </w:t>
      </w:r>
      <w:r w:rsidRPr="00A4723B">
        <w:t>r</w:t>
      </w:r>
      <w:r w:rsidR="000D4093" w:rsidRPr="00A4723B">
        <w:t xml:space="preserve">elevant </w:t>
      </w:r>
      <w:r w:rsidRPr="00A4723B">
        <w:t>safeguards</w:t>
      </w:r>
      <w:r w:rsidR="000D4093" w:rsidRPr="00A4723B">
        <w:t xml:space="preserve"> are not considered in this </w:t>
      </w:r>
      <w:r w:rsidR="00780266" w:rsidRPr="00A4723B">
        <w:t xml:space="preserve">part of the </w:t>
      </w:r>
      <w:r w:rsidR="005172CB" w:rsidRPr="00A4723B">
        <w:t>R</w:t>
      </w:r>
      <w:r w:rsidR="000D4093" w:rsidRPr="00A4723B">
        <w:t>eport.</w:t>
      </w:r>
    </w:p>
    <w:p w:rsidR="000D4093" w:rsidRPr="00A4723B" w:rsidRDefault="000D4093" w:rsidP="00A35168">
      <w:pPr>
        <w:pStyle w:val="List1"/>
        <w:rPr>
          <w:b/>
        </w:rPr>
      </w:pPr>
      <w:r w:rsidRPr="00A4723B">
        <w:t xml:space="preserve">The </w:t>
      </w:r>
      <w:r w:rsidR="004312A5" w:rsidRPr="00A4723B">
        <w:t>R</w:t>
      </w:r>
      <w:r w:rsidRPr="00A4723B">
        <w:t xml:space="preserve">eference </w:t>
      </w:r>
      <w:r w:rsidR="004312A5" w:rsidRPr="00A4723B">
        <w:t xml:space="preserve">from the </w:t>
      </w:r>
      <w:r w:rsidR="00517AB1" w:rsidRPr="00A4723B">
        <w:t>former</w:t>
      </w:r>
      <w:r w:rsidR="004312A5" w:rsidRPr="00A4723B">
        <w:t xml:space="preserve"> Prime Minister </w:t>
      </w:r>
      <w:r w:rsidRPr="00A4723B">
        <w:t xml:space="preserve">assumes the continued availability of control orders following the amendments to </w:t>
      </w:r>
      <w:r w:rsidR="00455503" w:rsidRPr="00A4723B">
        <w:t>Division 104</w:t>
      </w:r>
      <w:r w:rsidRPr="00A4723B">
        <w:t xml:space="preserve"> of the</w:t>
      </w:r>
      <w:r w:rsidR="001F0A68" w:rsidRPr="00A4723B">
        <w:t xml:space="preserve"> Schedule to the</w:t>
      </w:r>
      <w:r w:rsidRPr="00A4723B">
        <w:t xml:space="preserve"> </w:t>
      </w:r>
      <w:r w:rsidRPr="00A4723B">
        <w:rPr>
          <w:i/>
        </w:rPr>
        <w:t xml:space="preserve">Criminal Code </w:t>
      </w:r>
      <w:r w:rsidR="00455503" w:rsidRPr="00A4723B">
        <w:rPr>
          <w:i/>
        </w:rPr>
        <w:t xml:space="preserve">Act </w:t>
      </w:r>
      <w:r w:rsidRPr="00A4723B">
        <w:rPr>
          <w:i/>
        </w:rPr>
        <w:t xml:space="preserve">1995 </w:t>
      </w:r>
      <w:r w:rsidR="00DF7C20" w:rsidRPr="00A4723B">
        <w:t>(</w:t>
      </w:r>
      <w:r w:rsidR="00DF7C20" w:rsidRPr="00A4723B">
        <w:rPr>
          <w:i/>
        </w:rPr>
        <w:t>Criminal Code</w:t>
      </w:r>
      <w:r w:rsidR="00DF7C20" w:rsidRPr="00A4723B">
        <w:t>)</w:t>
      </w:r>
      <w:r w:rsidRPr="00A4723B">
        <w:t xml:space="preserve"> in 2014. Control orders have been</w:t>
      </w:r>
      <w:r w:rsidR="00F363E6" w:rsidRPr="00A4723B">
        <w:t xml:space="preserve"> </w:t>
      </w:r>
      <w:r w:rsidRPr="00A4723B">
        <w:t>a controversial remedy. The previous INSLM</w:t>
      </w:r>
      <w:r w:rsidR="00DA764D" w:rsidRPr="00A4723B">
        <w:t xml:space="preserve">, Bret Walker SC, </w:t>
      </w:r>
      <w:r w:rsidRPr="00A4723B">
        <w:t>recommended that they be abolished.</w:t>
      </w:r>
      <w:r w:rsidR="00763B43" w:rsidRPr="00A4723B">
        <w:rPr>
          <w:rStyle w:val="FootnoteReference"/>
        </w:rPr>
        <w:footnoteReference w:id="3"/>
      </w:r>
      <w:r w:rsidRPr="00A4723B">
        <w:t xml:space="preserve"> That was not accepted. Some submissions to this inquiry </w:t>
      </w:r>
      <w:r w:rsidR="00765365" w:rsidRPr="00A4723B">
        <w:t>contain prior calls for</w:t>
      </w:r>
      <w:r w:rsidRPr="00A4723B">
        <w:t xml:space="preserve"> abolition</w:t>
      </w:r>
      <w:r w:rsidR="00765365" w:rsidRPr="00A4723B">
        <w:t xml:space="preserve"> and highlight </w:t>
      </w:r>
      <w:r w:rsidR="00780266" w:rsidRPr="00A4723B">
        <w:t xml:space="preserve">alleged </w:t>
      </w:r>
      <w:r w:rsidR="00765365" w:rsidRPr="00A4723B">
        <w:t>flaws in the control order regime</w:t>
      </w:r>
      <w:r w:rsidRPr="00A4723B">
        <w:t>.</w:t>
      </w:r>
      <w:r w:rsidRPr="00A4723B">
        <w:rPr>
          <w:rStyle w:val="FootnoteReference"/>
        </w:rPr>
        <w:footnoteReference w:id="4"/>
      </w:r>
      <w:r w:rsidRPr="00A4723B">
        <w:t xml:space="preserve"> There is a duty to review the control order legislation pursuant to the INSLM Act apart </w:t>
      </w:r>
      <w:r w:rsidRPr="00A4723B">
        <w:lastRenderedPageBreak/>
        <w:t>from this Reference. The issue of abolition will be considered in that context rather than in this Reference. In the meantime the issue of safeguards is important as the government remains committed to the availability of control orders.</w:t>
      </w:r>
    </w:p>
    <w:p w:rsidR="00582DDA" w:rsidRDefault="000D4093" w:rsidP="00A35168">
      <w:pPr>
        <w:pStyle w:val="List1"/>
        <w:rPr>
          <w:b/>
        </w:rPr>
      </w:pPr>
      <w:r w:rsidRPr="00FC563D">
        <w:t xml:space="preserve">The PJCIS is currently considering the Counter-Terrorism Legislation Amendment Bill (No 1) 2015 (the 2015 </w:t>
      </w:r>
      <w:r w:rsidR="00422849" w:rsidRPr="00FC563D">
        <w:t>B</w:t>
      </w:r>
      <w:r w:rsidRPr="00FC563D">
        <w:t xml:space="preserve">ill), which includes amendments to the control order regime, and is due to report in February 2016. </w:t>
      </w:r>
      <w:r w:rsidR="0036550D" w:rsidRPr="00582DDA">
        <w:t xml:space="preserve"> </w:t>
      </w:r>
    </w:p>
    <w:p w:rsidR="00C1262F" w:rsidRPr="00582DDA" w:rsidRDefault="00780266" w:rsidP="00A35168">
      <w:pPr>
        <w:pStyle w:val="List1"/>
        <w:rPr>
          <w:b/>
        </w:rPr>
      </w:pPr>
      <w:r w:rsidRPr="00582DDA">
        <w:t>T</w:t>
      </w:r>
      <w:r w:rsidR="00931D10" w:rsidRPr="00582DDA">
        <w:t>he PJCIS has asked for my views in re</w:t>
      </w:r>
      <w:r w:rsidR="00E27FC6" w:rsidRPr="00582DDA">
        <w:t xml:space="preserve">lation </w:t>
      </w:r>
      <w:r w:rsidR="00931D10" w:rsidRPr="00582DDA">
        <w:t>to special advocates</w:t>
      </w:r>
      <w:r w:rsidRPr="00582DDA">
        <w:t xml:space="preserve"> in that context</w:t>
      </w:r>
      <w:r w:rsidR="00931D10" w:rsidRPr="00582DDA">
        <w:t xml:space="preserve"> to be provided by 1 February 2016</w:t>
      </w:r>
      <w:r w:rsidR="00C1262F" w:rsidRPr="00582DDA">
        <w:t>.</w:t>
      </w:r>
    </w:p>
    <w:p w:rsidR="000D4093" w:rsidRPr="00383845" w:rsidRDefault="000D4093" w:rsidP="00A35168">
      <w:pPr>
        <w:pStyle w:val="List1"/>
        <w:rPr>
          <w:b/>
        </w:rPr>
      </w:pPr>
      <w:r w:rsidRPr="00383845">
        <w:t xml:space="preserve">Hearings and consultations on the </w:t>
      </w:r>
      <w:r w:rsidR="004312A5" w:rsidRPr="00383845">
        <w:t>R</w:t>
      </w:r>
      <w:r w:rsidRPr="00383845">
        <w:t xml:space="preserve">eference concluded in December 2015. Preparation of the </w:t>
      </w:r>
      <w:r w:rsidR="00990B7E" w:rsidRPr="00383845">
        <w:t>R</w:t>
      </w:r>
      <w:r w:rsidR="00BA043D" w:rsidRPr="00383845">
        <w:t>eport on</w:t>
      </w:r>
      <w:r w:rsidR="00990B7E" w:rsidRPr="00383845">
        <w:t xml:space="preserve"> th</w:t>
      </w:r>
      <w:r w:rsidR="00990B7E" w:rsidRPr="00A35168">
        <w:rPr>
          <w:rStyle w:val="listChar"/>
        </w:rPr>
        <w:t>e</w:t>
      </w:r>
      <w:r w:rsidR="00990B7E" w:rsidRPr="00383845">
        <w:t xml:space="preserve"> Reference</w:t>
      </w:r>
      <w:r w:rsidR="00691EEA" w:rsidRPr="00383845">
        <w:t xml:space="preserve"> </w:t>
      </w:r>
      <w:r w:rsidRPr="00383845">
        <w:t xml:space="preserve">is in train but will not be completed by 1 February. In these circumstances </w:t>
      </w:r>
      <w:r w:rsidR="00604E5F">
        <w:t xml:space="preserve">it is appropriate to deliver the first part of the </w:t>
      </w:r>
      <w:r w:rsidR="00214F7A">
        <w:t>R</w:t>
      </w:r>
      <w:r w:rsidRPr="00383845">
        <w:t>eport relating to special advocates</w:t>
      </w:r>
      <w:r w:rsidR="00931D10" w:rsidRPr="00383845">
        <w:t>,</w:t>
      </w:r>
      <w:r w:rsidR="00B11D4E" w:rsidRPr="00383845">
        <w:t xml:space="preserve"> </w:t>
      </w:r>
      <w:r w:rsidR="00E27FC6" w:rsidRPr="00383845">
        <w:t>in the context of the 2015 Bill</w:t>
      </w:r>
      <w:r w:rsidR="00A266CF" w:rsidRPr="00383845">
        <w:t>,</w:t>
      </w:r>
      <w:r w:rsidR="00931D10" w:rsidRPr="00383845">
        <w:t xml:space="preserve"> to the Prime Minister</w:t>
      </w:r>
      <w:r w:rsidR="00604E5F">
        <w:t>,</w:t>
      </w:r>
      <w:r w:rsidR="00931D10" w:rsidRPr="00383845">
        <w:t xml:space="preserve"> in accordance with section 30 of the INSLM Act</w:t>
      </w:r>
      <w:r w:rsidR="00E27FC6" w:rsidRPr="00383845">
        <w:t>.</w:t>
      </w:r>
    </w:p>
    <w:p w:rsidR="000D4093" w:rsidRPr="00383845" w:rsidRDefault="000D4093" w:rsidP="00A35168">
      <w:pPr>
        <w:pStyle w:val="List1"/>
        <w:rPr>
          <w:b/>
        </w:rPr>
      </w:pPr>
      <w:r w:rsidRPr="00383845">
        <w:t xml:space="preserve">Because of the purpose and timing of this </w:t>
      </w:r>
      <w:r w:rsidR="00214F7A">
        <w:t>part of the R</w:t>
      </w:r>
      <w:r w:rsidRPr="00383845">
        <w:t xml:space="preserve">eport, </w:t>
      </w:r>
      <w:proofErr w:type="gramStart"/>
      <w:r w:rsidRPr="00383845">
        <w:t>a knowledge</w:t>
      </w:r>
      <w:proofErr w:type="gramEnd"/>
      <w:r w:rsidRPr="00383845">
        <w:t xml:space="preserve"> of the current legislation governing control orders, the history and operation of </w:t>
      </w:r>
      <w:r w:rsidR="009F15BC">
        <w:t>that legislation</w:t>
      </w:r>
      <w:r w:rsidR="009F15BC" w:rsidRPr="00383845">
        <w:t xml:space="preserve"> </w:t>
      </w:r>
      <w:r w:rsidRPr="00383845">
        <w:t>and the commentary about it</w:t>
      </w:r>
      <w:r w:rsidR="009F15BC">
        <w:t>,</w:t>
      </w:r>
      <w:r w:rsidRPr="00383845">
        <w:t xml:space="preserve"> as well as the contents of the </w:t>
      </w:r>
      <w:r w:rsidR="00422849" w:rsidRPr="00383845">
        <w:t>2015 Bill</w:t>
      </w:r>
      <w:r w:rsidRPr="00383845">
        <w:t xml:space="preserve"> and the Explanatory Memorandum (EM)</w:t>
      </w:r>
      <w:r w:rsidR="009F15BC">
        <w:t>,</w:t>
      </w:r>
      <w:r w:rsidRPr="00383845">
        <w:t xml:space="preserve"> will be assumed. I have taken into account the report of the Parliamentary Joint Committee on Human Rights on this </w:t>
      </w:r>
      <w:r w:rsidR="00422849" w:rsidRPr="00383845">
        <w:t>B</w:t>
      </w:r>
      <w:r w:rsidRPr="00383845">
        <w:t>ill</w:t>
      </w:r>
      <w:r w:rsidR="00734E00">
        <w:t>.</w:t>
      </w:r>
      <w:r w:rsidR="009F15BC">
        <w:rPr>
          <w:rStyle w:val="FootnoteReference"/>
        </w:rPr>
        <w:footnoteReference w:id="5"/>
      </w:r>
      <w:r w:rsidR="002C58D7" w:rsidRPr="00383845">
        <w:t xml:space="preserve"> </w:t>
      </w:r>
      <w:r w:rsidR="00691EEA" w:rsidRPr="00383845">
        <w:t>This</w:t>
      </w:r>
      <w:r w:rsidR="002C58D7" w:rsidRPr="00383845">
        <w:t xml:space="preserve"> Report will be more succinct than may otherwise have been the case.</w:t>
      </w:r>
    </w:p>
    <w:p w:rsidR="000D4093" w:rsidRPr="00A4723B" w:rsidRDefault="000D4093" w:rsidP="00E37F91">
      <w:pPr>
        <w:pStyle w:val="h2"/>
      </w:pPr>
      <w:bookmarkStart w:id="2" w:name="_Toc441824931"/>
      <w:r w:rsidRPr="00A4723B">
        <w:t xml:space="preserve">The </w:t>
      </w:r>
      <w:r w:rsidR="00422849" w:rsidRPr="00A4723B">
        <w:t>2015 Bill</w:t>
      </w:r>
      <w:bookmarkEnd w:id="2"/>
    </w:p>
    <w:p w:rsidR="000D4093" w:rsidRPr="00383845" w:rsidRDefault="00780266" w:rsidP="00A35168">
      <w:pPr>
        <w:pStyle w:val="List1"/>
        <w:rPr>
          <w:b/>
        </w:rPr>
      </w:pPr>
      <w:r>
        <w:t>This is not a report on the 2015 Bill. However, t</w:t>
      </w:r>
      <w:r w:rsidR="000D4093" w:rsidRPr="00383845">
        <w:t xml:space="preserve">hree aspects of the </w:t>
      </w:r>
      <w:r w:rsidR="00422849" w:rsidRPr="00383845">
        <w:t>2015 Bill</w:t>
      </w:r>
      <w:r w:rsidR="000D4093" w:rsidRPr="00383845">
        <w:t xml:space="preserve"> bear upon the case for special advocates.</w:t>
      </w:r>
    </w:p>
    <w:p w:rsidR="008506A6" w:rsidRPr="00383845" w:rsidRDefault="000D4093" w:rsidP="00A35168">
      <w:pPr>
        <w:pStyle w:val="List1"/>
        <w:rPr>
          <w:b/>
        </w:rPr>
      </w:pPr>
      <w:r w:rsidRPr="00383845">
        <w:t>The first aspect is Schedule 2 dealing with control orders for young people. These amendments are controversial and</w:t>
      </w:r>
      <w:r w:rsidR="001F1955" w:rsidRPr="00383845">
        <w:t>,</w:t>
      </w:r>
      <w:r w:rsidRPr="00383845">
        <w:t xml:space="preserve"> if passed, will require careful monitoring. </w:t>
      </w:r>
      <w:r w:rsidRPr="00383845">
        <w:rPr>
          <w:lang w:val="en-GB"/>
        </w:rPr>
        <w:t>For present purposes, the point of interest is the obligation for the court to make an order appointing a lawyer to be the court appointed advocate of the young person.</w:t>
      </w:r>
      <w:r w:rsidR="00CD018A" w:rsidRPr="00383845">
        <w:rPr>
          <w:rStyle w:val="FootnoteReference"/>
          <w:lang w:val="en-GB"/>
        </w:rPr>
        <w:footnoteReference w:id="6"/>
      </w:r>
      <w:r w:rsidRPr="00383845">
        <w:rPr>
          <w:lang w:val="en-GB"/>
        </w:rPr>
        <w:t xml:space="preserve"> </w:t>
      </w:r>
      <w:r w:rsidRPr="00383845">
        <w:t xml:space="preserve">At first sight this might be thought to provide some guidance in relation to special advocates generally. That possibility can be dismissed once the role </w:t>
      </w:r>
      <w:r w:rsidR="00D42C2D" w:rsidRPr="00383845">
        <w:lastRenderedPageBreak/>
        <w:t xml:space="preserve">of the advocate is considered. </w:t>
      </w:r>
      <w:r w:rsidRPr="00383845">
        <w:t xml:space="preserve">The EM neatly describes the position – the advocate is not the young person’s representative and is not obliged to act on the instructions of the young person – rather the advocate is an independent party who is responsible for representing the best interests of the young person rather </w:t>
      </w:r>
      <w:r w:rsidR="00DF7C20" w:rsidRPr="00383845">
        <w:t xml:space="preserve">than </w:t>
      </w:r>
      <w:r w:rsidRPr="00383845">
        <w:t xml:space="preserve">the expressed wishes of the young person. The advocate may even disclose information communicated by the young person to the court against the wishes of the young person. The advocate must form an independent view of what is in the best interests of the young person and suggest to the court the adoption of a course of action that the advocate believes to be in the best interests of the young person (EM paras 89-97). It is contemplated that the lawyer might argue for a control order to be made and that evidence obtained from the child could be used to support that outcome. It is not unreasonable to see that procedure as potentially being an aid to investigation by the authorities.  </w:t>
      </w:r>
    </w:p>
    <w:p w:rsidR="000D4093" w:rsidRPr="00383845" w:rsidRDefault="000D4093" w:rsidP="00A35168">
      <w:pPr>
        <w:pStyle w:val="List1"/>
        <w:rPr>
          <w:b/>
        </w:rPr>
      </w:pPr>
      <w:r w:rsidRPr="00383845">
        <w:t>Th</w:t>
      </w:r>
      <w:r w:rsidR="001F1955" w:rsidRPr="00383845">
        <w:t>at</w:t>
      </w:r>
      <w:r w:rsidRPr="00383845">
        <w:t xml:space="preserve"> procedure is adapted from sections 68L and 68LA of the </w:t>
      </w:r>
      <w:r w:rsidRPr="00383845">
        <w:rPr>
          <w:i/>
        </w:rPr>
        <w:t>Family Law Act 1975</w:t>
      </w:r>
      <w:r w:rsidRPr="00383845">
        <w:t xml:space="preserve"> which principally apply in custody cases. In those cases there will be a choice as to the best arrangements for custody and access involving an assessment of the suitability of the potential custodians – usually parents or close relatives. A child may well have emotional attachments that cloud his or her attitude or may be too young to be able to form a sensible view. Furthermore, a child is not a party to family law proceedings. It is a large step to move from that context to one where the proceeding is against the child and the choice is </w:t>
      </w:r>
      <w:r w:rsidR="00C1262F" w:rsidRPr="00383845">
        <w:t xml:space="preserve">whether or not to impose </w:t>
      </w:r>
      <w:r w:rsidRPr="00383845">
        <w:t>an intrusive control order with criminal liability for breach.  It is also odd, to say the least, that the parents who</w:t>
      </w:r>
      <w:r w:rsidR="00931D10" w:rsidRPr="00383845">
        <w:t xml:space="preserve"> ordinarily would have</w:t>
      </w:r>
      <w:r w:rsidRPr="00383845">
        <w:t xml:space="preserve"> the custody and control of the young person have no responsibilities </w:t>
      </w:r>
      <w:r w:rsidR="003A18D8" w:rsidRPr="00383845">
        <w:t>in relation to control orders</w:t>
      </w:r>
      <w:r w:rsidRPr="00383845">
        <w:t>.</w:t>
      </w:r>
    </w:p>
    <w:p w:rsidR="000D4093" w:rsidRPr="00383845" w:rsidRDefault="000D4093" w:rsidP="00A35168">
      <w:pPr>
        <w:pStyle w:val="List1"/>
        <w:rPr>
          <w:b/>
        </w:rPr>
      </w:pPr>
      <w:r w:rsidRPr="00383845">
        <w:t>The second aspect is monitoring compliance with control orders pursuant to Schedules 3, 8, 9 and</w:t>
      </w:r>
      <w:r w:rsidR="006C09C3">
        <w:t> </w:t>
      </w:r>
      <w:r w:rsidRPr="00383845">
        <w:t>10</w:t>
      </w:r>
      <w:r w:rsidR="00FC143C">
        <w:t xml:space="preserve"> of the 2015 Bill</w:t>
      </w:r>
      <w:r w:rsidRPr="00383845">
        <w:t xml:space="preserve">. Monitoring compliance seems a reasonable concept, but reading these schedules brings home </w:t>
      </w:r>
      <w:r w:rsidR="00AC14A4" w:rsidRPr="00383845">
        <w:t xml:space="preserve">forcibly </w:t>
      </w:r>
      <w:r w:rsidRPr="00383845">
        <w:t>the extent of intrusion into life and liberty by the making of a control order. The mere existence of the order is a trigger for monitoring.</w:t>
      </w:r>
      <w:r w:rsidRPr="00383845">
        <w:rPr>
          <w:rStyle w:val="FootnoteReference"/>
        </w:rPr>
        <w:footnoteReference w:id="7"/>
      </w:r>
      <w:r w:rsidRPr="00383845">
        <w:t xml:space="preserve"> </w:t>
      </w:r>
      <w:r w:rsidR="003C1577" w:rsidRPr="00383845">
        <w:t xml:space="preserve"> </w:t>
      </w:r>
      <w:r w:rsidRPr="00383845">
        <w:t xml:space="preserve">The details of the potential monitoring blur, if not eliminate, the line between monitoring and investigation. The case for control orders is weakened if control orders are of little utility without such far reaching surveillance. It is difficult to imagine such provisions being applied to an accused on bail. The significance for present purposes is to </w:t>
      </w:r>
      <w:proofErr w:type="spellStart"/>
      <w:r w:rsidRPr="00383845">
        <w:t>emphasise</w:t>
      </w:r>
      <w:proofErr w:type="spellEnd"/>
      <w:r w:rsidRPr="00383845">
        <w:t xml:space="preserve"> the seriousness of the impact upon a person of the grant of a control order if these changes come into force and the consequent necessity for proper safeguards of the interests of a potential controlee.</w:t>
      </w:r>
    </w:p>
    <w:p w:rsidR="000D4093" w:rsidRPr="00383845" w:rsidRDefault="000D4093" w:rsidP="00A35168">
      <w:pPr>
        <w:pStyle w:val="List1"/>
        <w:rPr>
          <w:b/>
        </w:rPr>
      </w:pPr>
      <w:r w:rsidRPr="00383845">
        <w:t>The third aspect is the amendment to the way in which national security information is dealt with in control order proceedings by the proposed amendments to the</w:t>
      </w:r>
      <w:r w:rsidR="00582DDA">
        <w:t xml:space="preserve"> </w:t>
      </w:r>
      <w:r w:rsidR="00582DDA" w:rsidRPr="00582DDA">
        <w:rPr>
          <w:i/>
        </w:rPr>
        <w:t>National Security Information (C</w:t>
      </w:r>
      <w:r w:rsidR="00582DDA">
        <w:rPr>
          <w:i/>
        </w:rPr>
        <w:t>ri</w:t>
      </w:r>
      <w:r w:rsidR="00582DDA" w:rsidRPr="00582DDA">
        <w:rPr>
          <w:i/>
        </w:rPr>
        <w:t xml:space="preserve">minal and Civil Proceedings) Act 2004 </w:t>
      </w:r>
      <w:r w:rsidR="00582DDA">
        <w:t>(</w:t>
      </w:r>
      <w:r w:rsidRPr="00383845">
        <w:t>NSI Act</w:t>
      </w:r>
      <w:r w:rsidR="00582DDA">
        <w:t>)</w:t>
      </w:r>
      <w:r w:rsidRPr="00383845">
        <w:t xml:space="preserve"> by Schedule 15</w:t>
      </w:r>
      <w:r w:rsidR="00BF0AD4">
        <w:t xml:space="preserve"> of the 2015 Bill</w:t>
      </w:r>
      <w:r w:rsidR="00C1262F" w:rsidRPr="00383845">
        <w:t>,</w:t>
      </w:r>
      <w:r w:rsidRPr="00383845">
        <w:t xml:space="preserve"> particularly proposed s 38J.</w:t>
      </w:r>
      <w:r w:rsidR="00952CF0" w:rsidRPr="00383845">
        <w:t xml:space="preserve"> </w:t>
      </w:r>
      <w:r w:rsidRPr="00383845">
        <w:t xml:space="preserve">This aspect has the most direct impact upon the potential role of a special </w:t>
      </w:r>
      <w:r w:rsidRPr="00383845">
        <w:lastRenderedPageBreak/>
        <w:t xml:space="preserve">advocate. Firstly, the court is expressly </w:t>
      </w:r>
      <w:proofErr w:type="spellStart"/>
      <w:r w:rsidRPr="00383845">
        <w:t>authorised</w:t>
      </w:r>
      <w:proofErr w:type="spellEnd"/>
      <w:r w:rsidRPr="00383845">
        <w:t xml:space="preserve"> to consider information that has not been disclosed to the target of a control order request or that pe</w:t>
      </w:r>
      <w:r w:rsidR="003C1577" w:rsidRPr="00383845">
        <w:t>rson’s legal representative (</w:t>
      </w:r>
      <w:r w:rsidR="003669E5">
        <w:t xml:space="preserve">proposed </w:t>
      </w:r>
      <w:proofErr w:type="spellStart"/>
      <w:r w:rsidR="003C1577" w:rsidRPr="00383845">
        <w:t>ss</w:t>
      </w:r>
      <w:proofErr w:type="spellEnd"/>
      <w:r w:rsidR="003C1577" w:rsidRPr="00383845">
        <w:t> </w:t>
      </w:r>
      <w:proofErr w:type="gramStart"/>
      <w:r w:rsidRPr="00383845">
        <w:t>38J(</w:t>
      </w:r>
      <w:proofErr w:type="gramEnd"/>
      <w:r w:rsidRPr="00383845">
        <w:t>2)(e) and 38J(3)</w:t>
      </w:r>
      <w:r w:rsidR="00F112AF" w:rsidRPr="00383845">
        <w:t>(d)</w:t>
      </w:r>
      <w:r w:rsidR="0012658A" w:rsidRPr="00383845">
        <w:t>)</w:t>
      </w:r>
      <w:r w:rsidRPr="00383845">
        <w:t xml:space="preserve">. Secondly, the target may be </w:t>
      </w:r>
      <w:r w:rsidR="003669E5">
        <w:t xml:space="preserve">either </w:t>
      </w:r>
      <w:r w:rsidRPr="00383845">
        <w:t>precluded from calling a witness who may be able to give exculpatory evidence or be excluded from a hearing if the witness gives evidence.</w:t>
      </w:r>
      <w:r w:rsidRPr="00383845">
        <w:rPr>
          <w:rStyle w:val="FootnoteReference"/>
        </w:rPr>
        <w:footnoteReference w:id="8"/>
      </w:r>
      <w:r w:rsidRPr="00383845">
        <w:t xml:space="preserve"> Thirdly, redactions, summaries and particulars of information may not be fair to the target.</w:t>
      </w:r>
    </w:p>
    <w:p w:rsidR="000D4093" w:rsidRPr="00383845" w:rsidRDefault="000D4093" w:rsidP="00A35168">
      <w:pPr>
        <w:pStyle w:val="List1"/>
        <w:rPr>
          <w:b/>
        </w:rPr>
      </w:pPr>
      <w:r w:rsidRPr="00383845">
        <w:t xml:space="preserve">It is accepted for the purposes of this </w:t>
      </w:r>
      <w:r w:rsidR="003A18D8" w:rsidRPr="00383845">
        <w:t>R</w:t>
      </w:r>
      <w:r w:rsidRPr="00383845">
        <w:t xml:space="preserve">eport that these consequences are new. Whether that is so will be addressed in the </w:t>
      </w:r>
      <w:r w:rsidR="00214F7A">
        <w:t>next part of this R</w:t>
      </w:r>
      <w:r w:rsidRPr="00383845">
        <w:t xml:space="preserve">eport. Further, this </w:t>
      </w:r>
      <w:r w:rsidR="001A5AF9" w:rsidRPr="00383845">
        <w:t>R</w:t>
      </w:r>
      <w:r w:rsidRPr="00383845">
        <w:t xml:space="preserve">eport does not address the reason for making this change now. The justification in the EM (paras 748-749) existed in 2005 if it exists now. The EM does not explain why control order proceedings are singled out </w:t>
      </w:r>
      <w:r w:rsidR="00074EFC" w:rsidRPr="00383845">
        <w:t xml:space="preserve">for special treatment </w:t>
      </w:r>
      <w:r w:rsidRPr="00383845">
        <w:t xml:space="preserve">or what happens if the NSI </w:t>
      </w:r>
      <w:r w:rsidR="00074EFC" w:rsidRPr="00383845">
        <w:t>A</w:t>
      </w:r>
      <w:r w:rsidRPr="00383845">
        <w:t>ct is not invoked by the Attorney-General. It is worth remarking that</w:t>
      </w:r>
      <w:r w:rsidR="00074EFC" w:rsidRPr="00383845">
        <w:t xml:space="preserve"> </w:t>
      </w:r>
      <w:r w:rsidRPr="00383845">
        <w:t xml:space="preserve">no information was withheld </w:t>
      </w:r>
      <w:r w:rsidR="003A18D8" w:rsidRPr="00383845">
        <w:t xml:space="preserve">by the applicant for a control order from the respondent </w:t>
      </w:r>
      <w:r w:rsidRPr="00383845">
        <w:t xml:space="preserve">in any of the four recent </w:t>
      </w:r>
      <w:r w:rsidR="00691EEA" w:rsidRPr="00383845">
        <w:t xml:space="preserve">control order </w:t>
      </w:r>
      <w:r w:rsidRPr="00383845">
        <w:t>cases and that no</w:t>
      </w:r>
      <w:r w:rsidR="0012658A" w:rsidRPr="00383845">
        <w:t xml:space="preserve"> </w:t>
      </w:r>
      <w:r w:rsidR="00074EFC" w:rsidRPr="00383845">
        <w:t>proposal for an</w:t>
      </w:r>
      <w:r w:rsidRPr="00383845">
        <w:t xml:space="preserve"> application</w:t>
      </w:r>
      <w:r w:rsidR="00736A73" w:rsidRPr="00383845">
        <w:t xml:space="preserve"> for a control order</w:t>
      </w:r>
      <w:r w:rsidRPr="00383845">
        <w:t xml:space="preserve"> has been abandoned </w:t>
      </w:r>
      <w:r w:rsidR="0012658A" w:rsidRPr="00383845">
        <w:t xml:space="preserve">by the Australian Federal Police </w:t>
      </w:r>
      <w:r w:rsidRPr="00383845">
        <w:t>because of the prospect of the need to deal with sensitive information.</w:t>
      </w:r>
      <w:r w:rsidR="00843DB8" w:rsidRPr="00383845">
        <w:rPr>
          <w:rStyle w:val="FootnoteReference"/>
        </w:rPr>
        <w:footnoteReference w:id="9"/>
      </w:r>
      <w:r w:rsidRPr="00383845">
        <w:t xml:space="preserve"> Indeed, it appears that over recent years there have been no contested NSI Act hearings in any context</w:t>
      </w:r>
      <w:r w:rsidR="00544DA2">
        <w:t>,</w:t>
      </w:r>
      <w:r w:rsidR="001925CC" w:rsidRPr="00383845">
        <w:t xml:space="preserve"> </w:t>
      </w:r>
      <w:r w:rsidR="006A27A0" w:rsidRPr="00383845">
        <w:t xml:space="preserve">as </w:t>
      </w:r>
      <w:r w:rsidR="006E58C3" w:rsidRPr="00383845">
        <w:t>agreements pursuant</w:t>
      </w:r>
      <w:r w:rsidR="006A27A0" w:rsidRPr="00383845">
        <w:t xml:space="preserve"> to s 22 of </w:t>
      </w:r>
      <w:r w:rsidR="000A7FF5" w:rsidRPr="00383845">
        <w:t>the Act have been entered into.</w:t>
      </w:r>
      <w:r w:rsidR="00A266CF" w:rsidRPr="00383845">
        <w:rPr>
          <w:rStyle w:val="FootnoteReference"/>
        </w:rPr>
        <w:footnoteReference w:id="10"/>
      </w:r>
    </w:p>
    <w:p w:rsidR="000D4093" w:rsidRPr="00383845" w:rsidRDefault="000D4093" w:rsidP="00A35168">
      <w:pPr>
        <w:pStyle w:val="List1"/>
        <w:rPr>
          <w:b/>
        </w:rPr>
      </w:pPr>
      <w:r w:rsidRPr="00383845">
        <w:t xml:space="preserve">There is some amelioration of the impact of this </w:t>
      </w:r>
      <w:r w:rsidR="0012658A" w:rsidRPr="00383845">
        <w:t xml:space="preserve">amendment </w:t>
      </w:r>
      <w:r w:rsidRPr="00383845">
        <w:t>upon the respondent/target. The court needs to be satisfied that the target has been given notice of the allegations on which the control order request was based</w:t>
      </w:r>
      <w:r w:rsidR="00544DA2">
        <w:t>,</w:t>
      </w:r>
      <w:r w:rsidRPr="00383845">
        <w:t xml:space="preserve"> even if that person has not been given notice of the information supporting those allegations (</w:t>
      </w:r>
      <w:r w:rsidR="00544DA2">
        <w:t xml:space="preserve">proposed </w:t>
      </w:r>
      <w:r w:rsidRPr="00383845">
        <w:t xml:space="preserve">s 38J(1)(c)). The making of an order </w:t>
      </w:r>
      <w:proofErr w:type="spellStart"/>
      <w:r w:rsidRPr="00383845">
        <w:t>authorising</w:t>
      </w:r>
      <w:proofErr w:type="spellEnd"/>
      <w:r w:rsidRPr="00383845">
        <w:t xml:space="preserve"> the use of undisclosed information is not mandatory. In making the decision as to disclosure, the court must consider</w:t>
      </w:r>
      <w:r w:rsidR="003A58E5">
        <w:t>:</w:t>
      </w:r>
      <w:r w:rsidRPr="00383845">
        <w:t xml:space="preserve"> whether there would be a risk of prejudice to national security in the event of disclosure (having regard to the Attorney-General’s certificate); whether the order would have a substantial adverse effect on the substantive hearing in the proceeding; and any other matter the court considers relevant</w:t>
      </w:r>
      <w:r w:rsidR="0012658A" w:rsidRPr="00383845">
        <w:t xml:space="preserve"> </w:t>
      </w:r>
      <w:r w:rsidRPr="00383845">
        <w:t>(</w:t>
      </w:r>
      <w:r w:rsidR="00613769">
        <w:t xml:space="preserve">proposed </w:t>
      </w:r>
      <w:r w:rsidRPr="00383845">
        <w:t>s</w:t>
      </w:r>
      <w:r w:rsidR="00FA3A77" w:rsidRPr="00383845">
        <w:t xml:space="preserve"> </w:t>
      </w:r>
      <w:proofErr w:type="gramStart"/>
      <w:r w:rsidRPr="00383845">
        <w:t>38J(</w:t>
      </w:r>
      <w:proofErr w:type="gramEnd"/>
      <w:r w:rsidRPr="00383845">
        <w:t>5)). There are different closed hearing requirements if the party or the legal representative of the party has a sufficient security clearance </w:t>
      </w:r>
      <w:r w:rsidR="00EE2793" w:rsidRPr="00383845">
        <w:t>(</w:t>
      </w:r>
      <w:r w:rsidR="00613769">
        <w:t xml:space="preserve">proposed </w:t>
      </w:r>
      <w:r w:rsidRPr="00383845">
        <w:t>s 38I). On the substantive hearing the court retains power to control proceedings (</w:t>
      </w:r>
      <w:r w:rsidRPr="00A03154">
        <w:rPr>
          <w:i/>
        </w:rPr>
        <w:t>Criminal Code</w:t>
      </w:r>
      <w:r w:rsidRPr="00383845">
        <w:t xml:space="preserve"> s</w:t>
      </w:r>
      <w:r w:rsidR="00613769">
        <w:t> </w:t>
      </w:r>
      <w:r w:rsidRPr="00383845">
        <w:t xml:space="preserve">104.14(2)) including the grant of a stay by reason of abuse of process (NSI Act </w:t>
      </w:r>
      <w:proofErr w:type="spellStart"/>
      <w:r w:rsidRPr="00383845">
        <w:t>s</w:t>
      </w:r>
      <w:r w:rsidR="007621AA" w:rsidRPr="00383845">
        <w:t>s</w:t>
      </w:r>
      <w:proofErr w:type="spellEnd"/>
      <w:r w:rsidRPr="00383845">
        <w:t xml:space="preserve"> 19(3)-(5)). It is contended in the EM that the provisions of the </w:t>
      </w:r>
      <w:r w:rsidRPr="00A03154">
        <w:rPr>
          <w:i/>
        </w:rPr>
        <w:t>Criminal Code</w:t>
      </w:r>
      <w:r w:rsidRPr="00383845">
        <w:t xml:space="preserve"> such as s 104.12A ensure that the target knows the case to be made, but each is subject to a carve out of national security (and other) information.</w:t>
      </w:r>
    </w:p>
    <w:p w:rsidR="000D4093" w:rsidRDefault="000D4093" w:rsidP="00A35168">
      <w:pPr>
        <w:pStyle w:val="List1"/>
        <w:rPr>
          <w:b/>
        </w:rPr>
      </w:pPr>
      <w:r w:rsidRPr="00383845">
        <w:lastRenderedPageBreak/>
        <w:t xml:space="preserve">The serious </w:t>
      </w:r>
      <w:proofErr w:type="gramStart"/>
      <w:r w:rsidRPr="00383845">
        <w:t>impact</w:t>
      </w:r>
      <w:proofErr w:type="gramEnd"/>
      <w:r w:rsidRPr="00383845">
        <w:t xml:space="preserve"> of the restrictions that can be imposed pursuant to proposed s 38J remain. The amelioration of them might arguably save the provision from constitutional invalidity</w:t>
      </w:r>
      <w:r w:rsidR="006A0DB4" w:rsidRPr="00383845">
        <w:rPr>
          <w:rStyle w:val="FootnoteReference"/>
        </w:rPr>
        <w:footnoteReference w:id="11"/>
      </w:r>
      <w:r w:rsidR="00B87E5E">
        <w:t xml:space="preserve"> and non-</w:t>
      </w:r>
      <w:r w:rsidRPr="00383845">
        <w:t>compliance with Article 14(1) of the International Covenant on Civil and Political Rights (ICCPR)</w:t>
      </w:r>
      <w:r w:rsidR="004D00B5" w:rsidRPr="00383845">
        <w:rPr>
          <w:rStyle w:val="FootnoteReference"/>
        </w:rPr>
        <w:footnoteReference w:id="12"/>
      </w:r>
      <w:r w:rsidRPr="00383845">
        <w:t xml:space="preserve"> but </w:t>
      </w:r>
      <w:proofErr w:type="spellStart"/>
      <w:r w:rsidRPr="00383845">
        <w:t>honouring</w:t>
      </w:r>
      <w:proofErr w:type="spellEnd"/>
      <w:r w:rsidRPr="00383845">
        <w:t xml:space="preserve"> the principles of open justice, a fair trial, a fair hearing and the equality of arms may not be achieved. Any </w:t>
      </w:r>
      <w:r w:rsidR="00082E23" w:rsidRPr="00383845">
        <w:t xml:space="preserve">reasonable </w:t>
      </w:r>
      <w:r w:rsidRPr="00383845">
        <w:t>means of improving the imbalance should be taken. That is the</w:t>
      </w:r>
      <w:r w:rsidR="00074EFC" w:rsidRPr="00383845">
        <w:t xml:space="preserve"> </w:t>
      </w:r>
      <w:r w:rsidR="00EE2793" w:rsidRPr="00383845">
        <w:t>reasonable</w:t>
      </w:r>
      <w:r w:rsidRPr="00383845">
        <w:t xml:space="preserve"> price to be paid for the maintenance of secrecy.</w:t>
      </w:r>
    </w:p>
    <w:p w:rsidR="00843D2C" w:rsidRPr="00FE3002" w:rsidRDefault="00843D2C" w:rsidP="00A35168">
      <w:pPr>
        <w:pStyle w:val="List1"/>
        <w:rPr>
          <w:b/>
        </w:rPr>
      </w:pPr>
      <w:r w:rsidRPr="00FE3002">
        <w:t>Would the provision of a special advocate along the lines recommended by the COAG committee, who can have access to the information that is contended should be withheld, be such a means? The answer is in the affirmative. The objection in principle to special advocates is that they give a veneer of fairness to an inherently unfair and unnecessary process. That objection may be passed over in considering this Reference as it is in substance an attack on control orders. It is also suggested that there are practical limitations on the utility of the role.</w:t>
      </w:r>
    </w:p>
    <w:p w:rsidR="003C6659" w:rsidRPr="00A4723B" w:rsidRDefault="003C6659" w:rsidP="00E37F91">
      <w:pPr>
        <w:pStyle w:val="h2"/>
      </w:pPr>
      <w:bookmarkStart w:id="3" w:name="_Toc441824932"/>
      <w:r w:rsidRPr="00A4723B">
        <w:t xml:space="preserve">UK </w:t>
      </w:r>
      <w:r w:rsidR="001C6D2A" w:rsidRPr="00A4723B">
        <w:t>e</w:t>
      </w:r>
      <w:r w:rsidRPr="00A4723B">
        <w:t>xperience</w:t>
      </w:r>
      <w:bookmarkEnd w:id="3"/>
    </w:p>
    <w:p w:rsidR="00952CF0" w:rsidRPr="00383845" w:rsidRDefault="000D4093" w:rsidP="00A35168">
      <w:pPr>
        <w:pStyle w:val="List1"/>
        <w:rPr>
          <w:b/>
        </w:rPr>
      </w:pPr>
      <w:r w:rsidRPr="00383845">
        <w:t xml:space="preserve">In this context the </w:t>
      </w:r>
      <w:r w:rsidR="00D53186" w:rsidRPr="00383845">
        <w:t>U</w:t>
      </w:r>
      <w:r w:rsidR="00E405B6">
        <w:t>nited </w:t>
      </w:r>
      <w:r w:rsidR="00D53186" w:rsidRPr="00383845">
        <w:t>K</w:t>
      </w:r>
      <w:r w:rsidR="00843DB8" w:rsidRPr="00383845">
        <w:t>ingdom</w:t>
      </w:r>
      <w:r w:rsidR="00756BE1" w:rsidRPr="00383845">
        <w:t xml:space="preserve"> (UK)</w:t>
      </w:r>
      <w:r w:rsidRPr="00383845">
        <w:t xml:space="preserve"> </w:t>
      </w:r>
      <w:r w:rsidR="00EE2793" w:rsidRPr="00383845">
        <w:t xml:space="preserve">experience </w:t>
      </w:r>
      <w:r w:rsidRPr="00383845">
        <w:t xml:space="preserve">comes into focus. It does not appear to have been appreciated in some of the commentary that, by contrast with </w:t>
      </w:r>
      <w:r w:rsidR="00463558" w:rsidRPr="00383845">
        <w:t>the UK</w:t>
      </w:r>
      <w:r w:rsidRPr="00383845">
        <w:t xml:space="preserve">, control orders in Australia are an exercise of federal judicial power governed by the ordinary rules of procedure including the laws of evidence. There is no admission of pure intelligence information. The normal rights of appeal also apply. </w:t>
      </w:r>
    </w:p>
    <w:p w:rsidR="00082E23" w:rsidRPr="00383845" w:rsidRDefault="000D4093" w:rsidP="00A35168">
      <w:pPr>
        <w:pStyle w:val="List1"/>
        <w:rPr>
          <w:rStyle w:val="FootnoteReference"/>
          <w:b/>
        </w:rPr>
      </w:pPr>
      <w:r w:rsidRPr="00383845">
        <w:t xml:space="preserve">The detail of the </w:t>
      </w:r>
      <w:r w:rsidR="00D53186" w:rsidRPr="00383845">
        <w:t>UK</w:t>
      </w:r>
      <w:r w:rsidRPr="00383845">
        <w:t xml:space="preserve"> legislation has changed from time to time and differs from our legislation.</w:t>
      </w:r>
      <w:r w:rsidR="002C58D7" w:rsidRPr="00383845">
        <w:t xml:space="preserve"> </w:t>
      </w:r>
      <w:r w:rsidR="00843DB8" w:rsidRPr="00383845">
        <w:t xml:space="preserve">Control orders were first introduced in the UK with the advent of the </w:t>
      </w:r>
      <w:r w:rsidR="00843DB8" w:rsidRPr="00383845">
        <w:rPr>
          <w:i/>
        </w:rPr>
        <w:t>Prevention of Terrorism Act 2005</w:t>
      </w:r>
      <w:r w:rsidR="00843DB8" w:rsidRPr="00383845">
        <w:t xml:space="preserve"> </w:t>
      </w:r>
      <w:r w:rsidR="005360A4" w:rsidRPr="00383845">
        <w:t xml:space="preserve">(UK) </w:t>
      </w:r>
      <w:r w:rsidR="00843DB8" w:rsidRPr="00383845">
        <w:t>(PTA Act). Following</w:t>
      </w:r>
      <w:r w:rsidR="00384B7E" w:rsidRPr="00383845">
        <w:t xml:space="preserve"> this,</w:t>
      </w:r>
      <w:r w:rsidR="00843DB8" w:rsidRPr="00383845">
        <w:t xml:space="preserve"> a review of counter-terrorism and security powers </w:t>
      </w:r>
      <w:r w:rsidR="00384B7E" w:rsidRPr="00383845">
        <w:t>in 2010</w:t>
      </w:r>
      <w:r w:rsidR="00756BE1" w:rsidRPr="00383845">
        <w:t>,</w:t>
      </w:r>
      <w:r w:rsidR="00843DB8" w:rsidRPr="00383845">
        <w:t xml:space="preserve"> led to the passage of the </w:t>
      </w:r>
      <w:r w:rsidR="00843DB8" w:rsidRPr="00383845">
        <w:rPr>
          <w:i/>
        </w:rPr>
        <w:t>Terrorism Prevention and Investigation Measures Act</w:t>
      </w:r>
      <w:r w:rsidR="00ED2CA9" w:rsidRPr="00383845">
        <w:rPr>
          <w:i/>
        </w:rPr>
        <w:t xml:space="preserve"> 2011</w:t>
      </w:r>
      <w:r w:rsidR="00843DB8" w:rsidRPr="00383845">
        <w:t xml:space="preserve"> </w:t>
      </w:r>
      <w:r w:rsidR="005360A4" w:rsidRPr="00383845">
        <w:t xml:space="preserve">(UK) </w:t>
      </w:r>
      <w:r w:rsidR="00B87E5E">
        <w:t>(TPIM </w:t>
      </w:r>
      <w:r w:rsidR="00843DB8" w:rsidRPr="00383845">
        <w:t>Act</w:t>
      </w:r>
      <w:r w:rsidR="005360A4" w:rsidRPr="00383845">
        <w:t>)</w:t>
      </w:r>
      <w:r w:rsidR="00843DB8" w:rsidRPr="00383845">
        <w:t>. TPIMs are similar to control orders in purpose.</w:t>
      </w:r>
      <w:r w:rsidR="00A726F7" w:rsidRPr="00383845">
        <w:t xml:space="preserve"> </w:t>
      </w:r>
      <w:r w:rsidR="00843DB8" w:rsidRPr="00383845">
        <w:t>E</w:t>
      </w:r>
      <w:r w:rsidRPr="00383845">
        <w:t xml:space="preserve">xperience there provides the only </w:t>
      </w:r>
      <w:r w:rsidRPr="00383845">
        <w:lastRenderedPageBreak/>
        <w:t xml:space="preserve">substantial body of empirical evidence as to how special advocates might act as a safeguard in NSI </w:t>
      </w:r>
      <w:r w:rsidR="00A854CE">
        <w:t xml:space="preserve">Act </w:t>
      </w:r>
      <w:r w:rsidRPr="00383845">
        <w:t>proceedings affecting control order applications.</w:t>
      </w:r>
      <w:r w:rsidR="00EE2793" w:rsidRPr="00383845">
        <w:rPr>
          <w:rStyle w:val="FootnoteReference"/>
        </w:rPr>
        <w:t xml:space="preserve"> </w:t>
      </w:r>
    </w:p>
    <w:p w:rsidR="000D4093" w:rsidRPr="00383845" w:rsidRDefault="000747BA" w:rsidP="00A35168">
      <w:pPr>
        <w:pStyle w:val="List1"/>
        <w:rPr>
          <w:b/>
        </w:rPr>
      </w:pPr>
      <w:r w:rsidRPr="00383845">
        <w:t>Under the TPIM Act</w:t>
      </w:r>
      <w:r w:rsidR="000F35FA" w:rsidRPr="00383845">
        <w:t>,</w:t>
      </w:r>
      <w:r w:rsidRPr="00383845">
        <w:t xml:space="preserve"> </w:t>
      </w:r>
      <w:r w:rsidR="000F35FA" w:rsidRPr="00383845">
        <w:t>the Secretary of State cannot apply to the court to withhold closed material from the relevant party unless a special advocate has been appointed. The special advocate may challenge the application in which case the court conducts a preliminary hearing to determine the application. If permission is granted and the relevant party is excluded, the special advocate represents the interests of the party at the substantive hearing by making submissions adducing evidence and cross examining witnesses</w:t>
      </w:r>
      <w:r w:rsidR="00931D10" w:rsidRPr="00383845">
        <w:t>.</w:t>
      </w:r>
      <w:r w:rsidR="00ED2CA9" w:rsidRPr="00383845">
        <w:t xml:space="preserve"> </w:t>
      </w:r>
      <w:r w:rsidR="00931D10" w:rsidRPr="00383845">
        <w:t>T</w:t>
      </w:r>
      <w:r w:rsidRPr="00383845">
        <w:t>he special advocate may not communicate with</w:t>
      </w:r>
      <w:r w:rsidR="00074EFC" w:rsidRPr="00383845">
        <w:t xml:space="preserve"> the</w:t>
      </w:r>
      <w:r w:rsidRPr="00383845">
        <w:t xml:space="preserve"> relevant </w:t>
      </w:r>
      <w:r w:rsidR="00074EFC" w:rsidRPr="00383845">
        <w:t xml:space="preserve">party or their legal </w:t>
      </w:r>
      <w:r w:rsidR="000F35FA" w:rsidRPr="00383845">
        <w:t xml:space="preserve">representative </w:t>
      </w:r>
      <w:r w:rsidRPr="00383845">
        <w:t>after being served any closed material.</w:t>
      </w:r>
      <w:r w:rsidR="00074EFC" w:rsidRPr="00383845">
        <w:t xml:space="preserve"> The special advocate may request directions from the court </w:t>
      </w:r>
      <w:proofErr w:type="spellStart"/>
      <w:r w:rsidR="00074EFC" w:rsidRPr="00383845">
        <w:t>authorising</w:t>
      </w:r>
      <w:proofErr w:type="spellEnd"/>
      <w:r w:rsidR="00074EFC" w:rsidRPr="00383845">
        <w:t xml:space="preserve"> him/her to communicate with the relevant party, in which case the court must notify the Secretary of State who can object to the proposed communication</w:t>
      </w:r>
      <w:r w:rsidR="00952CF0" w:rsidRPr="00383845">
        <w:t>.</w:t>
      </w:r>
      <w:r w:rsidR="000F35FA" w:rsidRPr="00383845">
        <w:rPr>
          <w:rStyle w:val="FootnoteReference"/>
        </w:rPr>
        <w:footnoteReference w:id="13"/>
      </w:r>
    </w:p>
    <w:p w:rsidR="00FE3002" w:rsidRPr="00357717" w:rsidRDefault="000D4093" w:rsidP="00A35168">
      <w:pPr>
        <w:pStyle w:val="List1"/>
        <w:rPr>
          <w:b/>
        </w:rPr>
      </w:pPr>
      <w:r w:rsidRPr="00383845">
        <w:t>There has been controversy as to the efficacy of the special advocates</w:t>
      </w:r>
      <w:r w:rsidR="00EE2793" w:rsidRPr="00383845">
        <w:t xml:space="preserve"> system</w:t>
      </w:r>
      <w:r w:rsidRPr="00383845">
        <w:t>,</w:t>
      </w:r>
      <w:r w:rsidR="00990B7E" w:rsidRPr="00383845">
        <w:rPr>
          <w:rStyle w:val="FootnoteReference"/>
        </w:rPr>
        <w:footnoteReference w:id="14"/>
      </w:r>
      <w:r w:rsidRPr="00383845">
        <w:t xml:space="preserve"> some of the criticism emanating from the special advocates.</w:t>
      </w:r>
      <w:r w:rsidR="00A266CF" w:rsidRPr="00383845">
        <w:rPr>
          <w:rStyle w:val="FootnoteReference"/>
        </w:rPr>
        <w:footnoteReference w:id="15"/>
      </w:r>
      <w:r w:rsidRPr="00383845">
        <w:t xml:space="preserve"> A working group was established,</w:t>
      </w:r>
      <w:r w:rsidR="00A266CF" w:rsidRPr="00383845">
        <w:t xml:space="preserve"> to be</w:t>
      </w:r>
      <w:r w:rsidRPr="00383845">
        <w:t xml:space="preserve"> chaired by a High Court Judge (Mitting J), to discuss procedural and timing concerns in the closed material aspect of TPIM litigation and to seek solutions and/or make recommendations for improvements. No output has emerged yet. The</w:t>
      </w:r>
      <w:r w:rsidR="00BD40D4">
        <w:t xml:space="preserve"> UK </w:t>
      </w:r>
      <w:r w:rsidRPr="00383845">
        <w:t>Independent Reviewer of Terrorism Legislation, David Anderson</w:t>
      </w:r>
      <w:r w:rsidR="002933C1">
        <w:t> </w:t>
      </w:r>
      <w:r w:rsidRPr="00383845">
        <w:t>QC, generally supports the role of the special advocate</w:t>
      </w:r>
      <w:r w:rsidR="007358A4" w:rsidRPr="00383845">
        <w:t>.</w:t>
      </w:r>
      <w:r w:rsidR="00461B5B" w:rsidRPr="00383845">
        <w:rPr>
          <w:rStyle w:val="FootnoteReference"/>
        </w:rPr>
        <w:footnoteReference w:id="16"/>
      </w:r>
      <w:r w:rsidR="007358A4" w:rsidRPr="00383845">
        <w:t xml:space="preserve"> </w:t>
      </w:r>
      <w:r w:rsidR="001D7F20">
        <w:t xml:space="preserve"> </w:t>
      </w:r>
    </w:p>
    <w:p w:rsidR="003C6659" w:rsidRPr="00A4723B" w:rsidRDefault="003C6659" w:rsidP="00E37F91">
      <w:pPr>
        <w:pStyle w:val="h2"/>
      </w:pPr>
      <w:bookmarkStart w:id="4" w:name="_Toc441824933"/>
      <w:r w:rsidRPr="00A4723B">
        <w:t xml:space="preserve">Decision in </w:t>
      </w:r>
      <w:r w:rsidR="001C6D2A" w:rsidRPr="00A4723B">
        <w:t>p</w:t>
      </w:r>
      <w:r w:rsidRPr="00A4723B">
        <w:t>rinciple</w:t>
      </w:r>
      <w:bookmarkEnd w:id="4"/>
    </w:p>
    <w:p w:rsidR="000D4093" w:rsidRPr="00383845" w:rsidRDefault="000D4093" w:rsidP="00A35168">
      <w:pPr>
        <w:pStyle w:val="List1"/>
        <w:rPr>
          <w:b/>
        </w:rPr>
      </w:pPr>
      <w:r w:rsidRPr="00383845">
        <w:t xml:space="preserve">I do not doubt the utility of the role of special advocate in control order proceedings, even if access to the respondent party is limited. My experience as </w:t>
      </w:r>
      <w:proofErr w:type="spellStart"/>
      <w:r w:rsidRPr="00383845">
        <w:t>defen</w:t>
      </w:r>
      <w:r w:rsidR="0075536D" w:rsidRPr="00383845">
        <w:t>c</w:t>
      </w:r>
      <w:r w:rsidRPr="00383845">
        <w:t>e</w:t>
      </w:r>
      <w:proofErr w:type="spellEnd"/>
      <w:r w:rsidRPr="00383845">
        <w:t xml:space="preserve"> counsel is that it is possible to play a useful role in testing the prosecution case where no positive </w:t>
      </w:r>
      <w:proofErr w:type="spellStart"/>
      <w:r w:rsidRPr="00383845">
        <w:t>defence</w:t>
      </w:r>
      <w:proofErr w:type="spellEnd"/>
      <w:r w:rsidRPr="00383845">
        <w:t xml:space="preserve"> can be put forward on behalf of an accused. My experience as counsel, Royal Commissioner and judge is that a contradictor plays a vital role in any decision making, particularly judicial or quasi-judicial decision making. A special advocate can make submissions, for example as to</w:t>
      </w:r>
      <w:r w:rsidR="00D405E5">
        <w:t>:</w:t>
      </w:r>
      <w:r w:rsidRPr="00383845">
        <w:t xml:space="preserve"> the extent to which the </w:t>
      </w:r>
      <w:r w:rsidRPr="00383845">
        <w:lastRenderedPageBreak/>
        <w:t xml:space="preserve">information needs to be protected if at all; the most helpful way of redacting the information and providing summaries or particulars of it; </w:t>
      </w:r>
      <w:r w:rsidR="00ED1AA5" w:rsidRPr="00383845">
        <w:t xml:space="preserve">and the </w:t>
      </w:r>
      <w:r w:rsidRPr="00383845">
        <w:t xml:space="preserve">admissibility of the information and </w:t>
      </w:r>
      <w:r w:rsidR="00ED1AA5" w:rsidRPr="00383845">
        <w:t xml:space="preserve">the </w:t>
      </w:r>
      <w:r w:rsidRPr="00383845">
        <w:t>lack of</w:t>
      </w:r>
      <w:r w:rsidR="00ED1AA5" w:rsidRPr="00383845">
        <w:t>,</w:t>
      </w:r>
      <w:r w:rsidRPr="00383845">
        <w:t xml:space="preserve"> or limited</w:t>
      </w:r>
      <w:r w:rsidR="00ED1AA5" w:rsidRPr="00383845">
        <w:t>,</w:t>
      </w:r>
      <w:r w:rsidRPr="00383845">
        <w:t xml:space="preserve"> probative value the information might have to support the case for the orders. The special advocate will have access to all of the evidence and can put the withheld evidence into context.  A special advocate should be available </w:t>
      </w:r>
      <w:r w:rsidR="00604214" w:rsidRPr="00383845">
        <w:t xml:space="preserve">without charge to the party </w:t>
      </w:r>
      <w:r w:rsidRPr="00383845">
        <w:t>wherever evidence is proposed to be withheld from a party on national security grounds.</w:t>
      </w:r>
      <w:r w:rsidR="00492F3B" w:rsidRPr="00383845">
        <w:t xml:space="preserve"> That facility would assist in satisfying the constitutional requirement for procedural fairness and </w:t>
      </w:r>
      <w:r w:rsidR="00B11D4E" w:rsidRPr="00383845">
        <w:t>i</w:t>
      </w:r>
      <w:r w:rsidR="00492F3B" w:rsidRPr="00383845">
        <w:t>n complying with international obligations.</w:t>
      </w:r>
      <w:r w:rsidR="00592D59" w:rsidRPr="00383845">
        <w:t xml:space="preserve"> </w:t>
      </w:r>
      <w:r w:rsidR="00A266CF" w:rsidRPr="00383845">
        <w:t>T</w:t>
      </w:r>
      <w:r w:rsidR="00592D59" w:rsidRPr="00383845">
        <w:t>he involvement of a special advocate in the NSI Act proceedings should not introduce any undue delay in control order proceedings</w:t>
      </w:r>
      <w:r w:rsidR="00CD4019" w:rsidRPr="00383845">
        <w:t xml:space="preserve"> </w:t>
      </w:r>
      <w:r w:rsidR="00B11D4E" w:rsidRPr="00383845">
        <w:t>a</w:t>
      </w:r>
      <w:r w:rsidR="00592D59" w:rsidRPr="00383845">
        <w:t>s</w:t>
      </w:r>
      <w:r w:rsidR="00ED1AA5" w:rsidRPr="00383845">
        <w:t xml:space="preserve"> special advocates will only be involved </w:t>
      </w:r>
      <w:r w:rsidR="00592D59" w:rsidRPr="00383845">
        <w:t>in those cases where</w:t>
      </w:r>
      <w:r w:rsidR="00BD40D4">
        <w:t xml:space="preserve"> proposed</w:t>
      </w:r>
      <w:r w:rsidR="0011391C" w:rsidRPr="00383845">
        <w:t xml:space="preserve"> s 38J</w:t>
      </w:r>
      <w:r w:rsidR="00592D59" w:rsidRPr="00383845">
        <w:t xml:space="preserve"> </w:t>
      </w:r>
      <w:r w:rsidR="004C637F">
        <w:t xml:space="preserve">of </w:t>
      </w:r>
      <w:r w:rsidR="00592D59" w:rsidRPr="00383845">
        <w:t xml:space="preserve">the NSI Act is invoked and should not require any additional steps to be taken. </w:t>
      </w:r>
    </w:p>
    <w:p w:rsidR="003C6659" w:rsidRPr="00A4723B" w:rsidRDefault="00CB4104" w:rsidP="00E37F91">
      <w:pPr>
        <w:pStyle w:val="h2"/>
      </w:pPr>
      <w:bookmarkStart w:id="5" w:name="_Toc441824934"/>
      <w:r w:rsidRPr="00A4723B">
        <w:t>A</w:t>
      </w:r>
      <w:r w:rsidR="003C6659" w:rsidRPr="00A4723B">
        <w:t>ustralian Precedents</w:t>
      </w:r>
      <w:bookmarkEnd w:id="5"/>
      <w:r w:rsidR="003C6659" w:rsidRPr="00A4723B">
        <w:t xml:space="preserve"> </w:t>
      </w:r>
    </w:p>
    <w:p w:rsidR="008506A6" w:rsidRPr="00383845" w:rsidRDefault="000D4093" w:rsidP="00A35168">
      <w:pPr>
        <w:pStyle w:val="List1"/>
        <w:rPr>
          <w:b/>
        </w:rPr>
      </w:pPr>
      <w:r w:rsidRPr="00383845">
        <w:t xml:space="preserve">The </w:t>
      </w:r>
      <w:r w:rsidR="00990B7E" w:rsidRPr="00383845">
        <w:t xml:space="preserve">broad </w:t>
      </w:r>
      <w:r w:rsidRPr="00383845">
        <w:t xml:space="preserve">concept is not novel in Australia. The courts may appoint counsel ad hoc as amicus curiae to ensure that a point of view is put, although </w:t>
      </w:r>
      <w:r w:rsidR="006E58C3" w:rsidRPr="00383845">
        <w:t>amicus</w:t>
      </w:r>
      <w:r w:rsidRPr="00383845">
        <w:t xml:space="preserve"> </w:t>
      </w:r>
      <w:r w:rsidR="0075536D" w:rsidRPr="00383845">
        <w:t xml:space="preserve">curiae </w:t>
      </w:r>
      <w:r w:rsidRPr="00383845">
        <w:t xml:space="preserve">does not normally advocate for a party. In </w:t>
      </w:r>
      <w:r w:rsidRPr="00383845">
        <w:rPr>
          <w:i/>
        </w:rPr>
        <w:t xml:space="preserve">R v </w:t>
      </w:r>
      <w:proofErr w:type="spellStart"/>
      <w:r w:rsidRPr="00383845">
        <w:rPr>
          <w:i/>
        </w:rPr>
        <w:t>Lodhi</w:t>
      </w:r>
      <w:proofErr w:type="spellEnd"/>
      <w:r w:rsidRPr="00383845">
        <w:t xml:space="preserve"> </w:t>
      </w:r>
      <w:proofErr w:type="spellStart"/>
      <w:r w:rsidRPr="00383845">
        <w:t>Whealy</w:t>
      </w:r>
      <w:proofErr w:type="spellEnd"/>
      <w:r w:rsidRPr="00383845">
        <w:t xml:space="preserve"> J (as he then was) contemplated the ad hoc appointment of a special advocate in relation to national security information.</w:t>
      </w:r>
      <w:r w:rsidRPr="00383845">
        <w:rPr>
          <w:rStyle w:val="FootnoteReference"/>
        </w:rPr>
        <w:footnoteReference w:id="17"/>
      </w:r>
      <w:r w:rsidRPr="00383845">
        <w:t xml:space="preserve"> </w:t>
      </w:r>
    </w:p>
    <w:p w:rsidR="0027446A" w:rsidRPr="00383845" w:rsidRDefault="00396DD6" w:rsidP="00A35168">
      <w:pPr>
        <w:pStyle w:val="List1"/>
        <w:rPr>
          <w:b/>
        </w:rPr>
      </w:pPr>
      <w:r w:rsidRPr="00383845">
        <w:t>The Public Monitors of Victoria and Queensland play a role in relation to various law enforcement mechanisms but generally do not advocate for a party.</w:t>
      </w:r>
      <w:r w:rsidRPr="00383845">
        <w:rPr>
          <w:rStyle w:val="FootnoteReference"/>
        </w:rPr>
        <w:footnoteReference w:id="18"/>
      </w:r>
      <w:r w:rsidRPr="00383845">
        <w:t xml:space="preserve"> Other similar roles include the Queensland Criminal Organisation Public Interest Monitor</w:t>
      </w:r>
      <w:r w:rsidRPr="00383845">
        <w:rPr>
          <w:rStyle w:val="FootnoteReference"/>
        </w:rPr>
        <w:footnoteReference w:id="19"/>
      </w:r>
      <w:r w:rsidRPr="00383845">
        <w:t xml:space="preserve"> and the New South Wales Criminal Intelligence Monitor.</w:t>
      </w:r>
      <w:r w:rsidRPr="00383845">
        <w:rPr>
          <w:rStyle w:val="FootnoteReference"/>
        </w:rPr>
        <w:footnoteReference w:id="20"/>
      </w:r>
      <w:r w:rsidR="00CC0A37" w:rsidRPr="00383845">
        <w:t xml:space="preserve"> </w:t>
      </w:r>
      <w:r w:rsidR="00AA4FD1" w:rsidRPr="00383845">
        <w:t>T</w:t>
      </w:r>
      <w:r w:rsidR="00592D59" w:rsidRPr="00383845">
        <w:t xml:space="preserve">he </w:t>
      </w:r>
      <w:r w:rsidR="00AA4FD1" w:rsidRPr="00383845">
        <w:t>Queensland</w:t>
      </w:r>
      <w:r w:rsidR="00592D59" w:rsidRPr="00383845">
        <w:t xml:space="preserve"> Monitor has a role in </w:t>
      </w:r>
      <w:r w:rsidR="00AA4FD1" w:rsidRPr="00383845">
        <w:t>the control</w:t>
      </w:r>
      <w:r w:rsidR="00592D59" w:rsidRPr="00383845">
        <w:t xml:space="preserve"> order legislation</w:t>
      </w:r>
      <w:r w:rsidR="00EE5A6C" w:rsidRPr="00383845">
        <w:t>.</w:t>
      </w:r>
      <w:r w:rsidR="000D4093" w:rsidRPr="00383845">
        <w:t xml:space="preserve"> </w:t>
      </w:r>
      <w:r w:rsidR="007D4ADA" w:rsidRPr="00383845">
        <w:t xml:space="preserve">If the </w:t>
      </w:r>
      <w:r w:rsidR="00592D59" w:rsidRPr="00383845">
        <w:t xml:space="preserve">controlee is a resident </w:t>
      </w:r>
      <w:r w:rsidR="007D4ADA" w:rsidRPr="00383845">
        <w:t>of Queensland, or if the control order was made in Queensland, the Queensland Public Interest Monitor must be given a copy of the interim control order</w:t>
      </w:r>
      <w:r w:rsidR="00764E8D">
        <w:rPr>
          <w:rStyle w:val="FootnoteReference"/>
        </w:rPr>
        <w:footnoteReference w:id="21"/>
      </w:r>
      <w:r w:rsidR="007D4ADA" w:rsidRPr="00383845">
        <w:t xml:space="preserve"> and notice to elect to confirm or not confirm the order along with any supporting documents</w:t>
      </w:r>
      <w:r w:rsidR="002B63E7" w:rsidRPr="00383845">
        <w:t>.</w:t>
      </w:r>
      <w:r w:rsidR="00764E8D">
        <w:rPr>
          <w:rStyle w:val="FootnoteReference"/>
        </w:rPr>
        <w:footnoteReference w:id="22"/>
      </w:r>
      <w:r w:rsidR="007D4ADA" w:rsidRPr="00383845">
        <w:t xml:space="preserve"> If the </w:t>
      </w:r>
      <w:r w:rsidR="00137859" w:rsidRPr="00383845">
        <w:t xml:space="preserve">controlee or the </w:t>
      </w:r>
      <w:r w:rsidR="0027446A" w:rsidRPr="00383845">
        <w:t xml:space="preserve">AFP </w:t>
      </w:r>
      <w:proofErr w:type="gramStart"/>
      <w:r w:rsidR="00137859" w:rsidRPr="00383845">
        <w:t>apply</w:t>
      </w:r>
      <w:proofErr w:type="gramEnd"/>
      <w:r w:rsidR="007D4ADA" w:rsidRPr="00383845">
        <w:t xml:space="preserve"> for a revocation or variatio</w:t>
      </w:r>
      <w:r w:rsidR="00137859" w:rsidRPr="00383845">
        <w:t>n of a control order the controlee</w:t>
      </w:r>
      <w:r w:rsidR="007D4ADA" w:rsidRPr="00383845">
        <w:t xml:space="preserve"> or the AFP must notify the Queensland Public Interest Monitor if the subject is a resident of Queensland </w:t>
      </w:r>
      <w:r w:rsidR="007D4ADA" w:rsidRPr="00383845">
        <w:lastRenderedPageBreak/>
        <w:t>or if the court will hear</w:t>
      </w:r>
      <w:r w:rsidR="002B63E7" w:rsidRPr="00383845">
        <w:t xml:space="preserve"> the application in Queensland</w:t>
      </w:r>
      <w:r w:rsidR="007D4ADA" w:rsidRPr="00383845">
        <w:t>.</w:t>
      </w:r>
      <w:r w:rsidR="00A03154">
        <w:rPr>
          <w:rStyle w:val="FootnoteReference"/>
        </w:rPr>
        <w:footnoteReference w:id="23"/>
      </w:r>
      <w:r w:rsidR="007D4ADA" w:rsidRPr="00383845">
        <w:t xml:space="preserve"> The Queensland Public Interest Monitor also has a right to make submissions and adduce evidence in relation to </w:t>
      </w:r>
      <w:r w:rsidR="00953028">
        <w:t xml:space="preserve">the </w:t>
      </w:r>
      <w:r w:rsidR="007D4ADA" w:rsidRPr="00383845">
        <w:t>confirmation</w:t>
      </w:r>
      <w:r w:rsidR="00953028">
        <w:t xml:space="preserve"> of an interim control order or </w:t>
      </w:r>
      <w:r w:rsidR="007D4ADA" w:rsidRPr="00383845">
        <w:t>revocation or variatio</w:t>
      </w:r>
      <w:r w:rsidR="002B63E7" w:rsidRPr="00383845">
        <w:t>n of a confirmed control order</w:t>
      </w:r>
      <w:r w:rsidR="007D4ADA" w:rsidRPr="00383845">
        <w:t>.</w:t>
      </w:r>
      <w:r w:rsidR="00A03154">
        <w:rPr>
          <w:rStyle w:val="FootnoteReference"/>
        </w:rPr>
        <w:footnoteReference w:id="24"/>
      </w:r>
    </w:p>
    <w:p w:rsidR="0027446A" w:rsidRPr="00383845" w:rsidRDefault="0027446A" w:rsidP="00A35168">
      <w:pPr>
        <w:pStyle w:val="List1"/>
        <w:rPr>
          <w:b/>
        </w:rPr>
      </w:pPr>
      <w:r w:rsidRPr="00383845">
        <w:t xml:space="preserve">The </w:t>
      </w:r>
      <w:r w:rsidRPr="00383845">
        <w:rPr>
          <w:i/>
        </w:rPr>
        <w:t>Telecommunications (Interception and Access) Act 1979</w:t>
      </w:r>
      <w:r w:rsidRPr="00383845">
        <w:t xml:space="preserve"> (TIA Act) </w:t>
      </w:r>
      <w:r w:rsidR="00AA4FD1" w:rsidRPr="00383845">
        <w:t>provides a recent example of that kind of role</w:t>
      </w:r>
      <w:r w:rsidR="004B7CCA" w:rsidRPr="00383845">
        <w:t xml:space="preserve">. It </w:t>
      </w:r>
      <w:r w:rsidRPr="00383845">
        <w:t xml:space="preserve">creates the role of ‘Public Interest Advocate’ in connection with access under the </w:t>
      </w:r>
      <w:r w:rsidR="00650428" w:rsidRPr="00383845">
        <w:t xml:space="preserve">TIA </w:t>
      </w:r>
      <w:r w:rsidRPr="00383845">
        <w:t xml:space="preserve">Act to certain information relating to a journalist. Section 180X of the TIA Act requires the Prime Minister to </w:t>
      </w:r>
      <w:r w:rsidR="00AA4FD1" w:rsidRPr="00383845">
        <w:t xml:space="preserve">declare </w:t>
      </w:r>
      <w:r w:rsidRPr="00383845">
        <w:t>one or more persons to be a P</w:t>
      </w:r>
      <w:r w:rsidR="00AA4FD1" w:rsidRPr="00383845">
        <w:t xml:space="preserve">ublic </w:t>
      </w:r>
      <w:r w:rsidRPr="00383845">
        <w:t>I</w:t>
      </w:r>
      <w:r w:rsidR="00AA4FD1" w:rsidRPr="00383845">
        <w:t xml:space="preserve">nterest </w:t>
      </w:r>
      <w:r w:rsidRPr="00383845">
        <w:t>A</w:t>
      </w:r>
      <w:r w:rsidR="00AA4FD1" w:rsidRPr="00383845">
        <w:t>dvocate</w:t>
      </w:r>
      <w:r w:rsidRPr="00383845">
        <w:t xml:space="preserve">. The role is to make submissions to the Minister or an issuing authority, respectively, relevant to a decision whether to issue a ‘journalist information warrant’ applied for by ASIO or an issuing authority, respectively , and the conditions or restrictions (if any) that are to be specified in any such warrant. In broad terms, a journalist information warrant is required to </w:t>
      </w:r>
      <w:proofErr w:type="spellStart"/>
      <w:r w:rsidRPr="00383845">
        <w:t>authorise</w:t>
      </w:r>
      <w:proofErr w:type="spellEnd"/>
      <w:r w:rsidRPr="00383845">
        <w:t xml:space="preserve"> access to telecommunications data associated with a journalist where a purpose of the </w:t>
      </w:r>
      <w:proofErr w:type="spellStart"/>
      <w:r w:rsidRPr="00383845">
        <w:t>authorisation</w:t>
      </w:r>
      <w:proofErr w:type="spellEnd"/>
      <w:r w:rsidRPr="00383845">
        <w:t xml:space="preserve"> would be to identify a person known or reasonably believed to be the source of the journalist.</w:t>
      </w:r>
    </w:p>
    <w:p w:rsidR="00AF09CC" w:rsidRDefault="004B7CCA" w:rsidP="00A35168">
      <w:pPr>
        <w:pStyle w:val="List1"/>
        <w:rPr>
          <w:b/>
        </w:rPr>
      </w:pPr>
      <w:r w:rsidRPr="00383845">
        <w:t>T</w:t>
      </w:r>
      <w:r w:rsidR="0027446A" w:rsidRPr="00383845">
        <w:t xml:space="preserve">he </w:t>
      </w:r>
      <w:r w:rsidR="0027446A" w:rsidRPr="00383845">
        <w:rPr>
          <w:i/>
        </w:rPr>
        <w:t>Telecommunications (</w:t>
      </w:r>
      <w:r w:rsidR="00883CCB">
        <w:rPr>
          <w:i/>
        </w:rPr>
        <w:t>I</w:t>
      </w:r>
      <w:r w:rsidR="0027446A" w:rsidRPr="00383845">
        <w:rPr>
          <w:i/>
        </w:rPr>
        <w:t>nterception and Access) Regulations 1987</w:t>
      </w:r>
      <w:r w:rsidR="0027446A" w:rsidRPr="00383845">
        <w:t xml:space="preserve"> (the TIA Regulations)</w:t>
      </w:r>
      <w:r w:rsidR="00D31574" w:rsidRPr="00383845">
        <w:t xml:space="preserve"> provide further detail about</w:t>
      </w:r>
      <w:r w:rsidRPr="00383845">
        <w:t xml:space="preserve"> Public Interest Advocates</w:t>
      </w:r>
      <w:r w:rsidR="00CB4F29" w:rsidRPr="00383845">
        <w:t>.</w:t>
      </w:r>
      <w:r w:rsidR="0027446A" w:rsidRPr="00383845">
        <w:t xml:space="preserve"> </w:t>
      </w:r>
      <w:r w:rsidR="00CB4F29" w:rsidRPr="00383845">
        <w:t xml:space="preserve">Public Interest Advocates are appointed </w:t>
      </w:r>
      <w:r w:rsidR="007B0798" w:rsidRPr="00383845">
        <w:t>f</w:t>
      </w:r>
      <w:r w:rsidR="00CB4F29" w:rsidRPr="00383845">
        <w:t xml:space="preserve">or a term and will be either </w:t>
      </w:r>
      <w:r w:rsidR="00407EAF" w:rsidRPr="00383845">
        <w:t>a</w:t>
      </w:r>
      <w:r w:rsidR="007B0798" w:rsidRPr="00383845">
        <w:t xml:space="preserve"> security cleared</w:t>
      </w:r>
      <w:r w:rsidR="00D31574" w:rsidRPr="00383845">
        <w:t xml:space="preserve"> Queens or</w:t>
      </w:r>
      <w:r w:rsidR="00407EAF" w:rsidRPr="00383845">
        <w:t xml:space="preserve"> </w:t>
      </w:r>
      <w:r w:rsidR="007B0798" w:rsidRPr="00383845">
        <w:t>S</w:t>
      </w:r>
      <w:r w:rsidR="00407EAF" w:rsidRPr="00383845">
        <w:t xml:space="preserve">enior </w:t>
      </w:r>
      <w:r w:rsidR="007B0798" w:rsidRPr="00383845">
        <w:t>C</w:t>
      </w:r>
      <w:r w:rsidR="00407EAF" w:rsidRPr="00383845">
        <w:t>ounsel or a retired judge of certain courts</w:t>
      </w:r>
      <w:r w:rsidR="00D31574" w:rsidRPr="00383845">
        <w:t xml:space="preserve"> </w:t>
      </w:r>
      <w:r w:rsidR="007B0798" w:rsidRPr="00383845">
        <w:t>(</w:t>
      </w:r>
      <w:proofErr w:type="spellStart"/>
      <w:r w:rsidR="00D31574" w:rsidRPr="00383845">
        <w:t>R</w:t>
      </w:r>
      <w:r w:rsidR="007B0798" w:rsidRPr="00383845">
        <w:t>eg</w:t>
      </w:r>
      <w:r w:rsidR="00D31574" w:rsidRPr="00383845">
        <w:t>s</w:t>
      </w:r>
      <w:proofErr w:type="spellEnd"/>
      <w:r w:rsidR="007B0798" w:rsidRPr="00383845">
        <w:t xml:space="preserve"> 13, 14)</w:t>
      </w:r>
      <w:r w:rsidR="00D31574" w:rsidRPr="00383845">
        <w:t>.</w:t>
      </w:r>
      <w:r w:rsidR="004C637F">
        <w:t xml:space="preserve"> </w:t>
      </w:r>
      <w:r w:rsidR="00D31574" w:rsidRPr="00383845">
        <w:t>A</w:t>
      </w:r>
      <w:r w:rsidR="00407EAF" w:rsidRPr="00383845">
        <w:t xml:space="preserve">ppointments to date have been retired </w:t>
      </w:r>
      <w:r w:rsidR="006E58C3" w:rsidRPr="00383845">
        <w:t>judges.</w:t>
      </w:r>
      <w:r w:rsidR="00883CCB">
        <w:rPr>
          <w:rStyle w:val="FootnoteReference"/>
        </w:rPr>
        <w:footnoteReference w:id="25"/>
      </w:r>
      <w:r w:rsidR="006E58C3" w:rsidRPr="00383845">
        <w:t xml:space="preserve"> An</w:t>
      </w:r>
      <w:r w:rsidR="00CB4F29" w:rsidRPr="00383845">
        <w:t xml:space="preserve"> applicant for a journalist information warrant is required to seek submissions from a P</w:t>
      </w:r>
      <w:r w:rsidR="008B1012" w:rsidRPr="00383845">
        <w:t xml:space="preserve">ublic Interest Advocate </w:t>
      </w:r>
      <w:r w:rsidR="00A1648E">
        <w:t>and any submissions made by</w:t>
      </w:r>
      <w:r w:rsidR="00CB4F29" w:rsidRPr="00383845">
        <w:t xml:space="preserve"> </w:t>
      </w:r>
      <w:r w:rsidR="008B1012" w:rsidRPr="00383845">
        <w:t xml:space="preserve">him or her </w:t>
      </w:r>
      <w:r w:rsidR="00CB4F29" w:rsidRPr="00383845">
        <w:t>(written or at a hearing) are relevant to the decision whether to issue the warrant. For example, in relation to a warrant sought by ASIO, the Minister must not issue the warrant unless satisfied, among other things, that the public interest in issuing the warrant outweighs the public interest in protecting the confidentiality of the identity of the source – having regard, among other things, to any submissions made by a P</w:t>
      </w:r>
      <w:r w:rsidR="008B1012" w:rsidRPr="00383845">
        <w:t>ublic Interest Advocate</w:t>
      </w:r>
      <w:r w:rsidR="00BE0017" w:rsidRPr="00383845">
        <w:t xml:space="preserve">. </w:t>
      </w:r>
      <w:r w:rsidR="00CD29ED">
        <w:t>Regulation 9(2) of t</w:t>
      </w:r>
      <w:r w:rsidR="0027446A" w:rsidRPr="00383845">
        <w:t>he TIA Regulation</w:t>
      </w:r>
      <w:r w:rsidR="00CD29ED">
        <w:t xml:space="preserve">s </w:t>
      </w:r>
      <w:r w:rsidR="006A27A0" w:rsidRPr="00383845">
        <w:t>provides</w:t>
      </w:r>
      <w:r w:rsidR="008E353D" w:rsidRPr="00383845">
        <w:t xml:space="preserve">: </w:t>
      </w:r>
    </w:p>
    <w:p w:rsidR="00AF09CC" w:rsidRPr="00A35168" w:rsidRDefault="008E353D" w:rsidP="00A35168">
      <w:pPr>
        <w:spacing w:before="120"/>
        <w:ind w:left="567"/>
        <w:rPr>
          <w:b/>
          <w:sz w:val="20"/>
          <w:szCs w:val="20"/>
        </w:rPr>
      </w:pPr>
      <w:r w:rsidRPr="00A35168">
        <w:rPr>
          <w:sz w:val="20"/>
          <w:szCs w:val="20"/>
        </w:rPr>
        <w:t xml:space="preserve">The Public Interest Advocate must include in the submission the facts and considerations he or she considers: </w:t>
      </w:r>
    </w:p>
    <w:p w:rsidR="00AF09CC" w:rsidRPr="00A35168" w:rsidRDefault="008E353D" w:rsidP="00A35168">
      <w:pPr>
        <w:ind w:left="567"/>
        <w:rPr>
          <w:b/>
          <w:sz w:val="20"/>
          <w:szCs w:val="20"/>
        </w:rPr>
      </w:pPr>
      <w:r w:rsidRPr="00A35168">
        <w:rPr>
          <w:sz w:val="20"/>
          <w:szCs w:val="20"/>
        </w:rPr>
        <w:t xml:space="preserve">(a)  </w:t>
      </w:r>
      <w:proofErr w:type="gramStart"/>
      <w:r w:rsidRPr="00A35168">
        <w:rPr>
          <w:sz w:val="20"/>
          <w:szCs w:val="20"/>
        </w:rPr>
        <w:t>are</w:t>
      </w:r>
      <w:proofErr w:type="gramEnd"/>
      <w:r w:rsidRPr="00A35168">
        <w:rPr>
          <w:sz w:val="20"/>
          <w:szCs w:val="20"/>
        </w:rPr>
        <w:t xml:space="preserve"> relevant to one or both of the following: </w:t>
      </w:r>
    </w:p>
    <w:p w:rsidR="00AF09CC" w:rsidRPr="00A35168" w:rsidRDefault="008E353D" w:rsidP="00A35168">
      <w:pPr>
        <w:ind w:left="567"/>
        <w:rPr>
          <w:b/>
          <w:sz w:val="20"/>
          <w:szCs w:val="20"/>
        </w:rPr>
      </w:pPr>
      <w:r w:rsidRPr="00A35168">
        <w:rPr>
          <w:sz w:val="20"/>
          <w:szCs w:val="20"/>
        </w:rPr>
        <w:t>(</w:t>
      </w:r>
      <w:proofErr w:type="spellStart"/>
      <w:r w:rsidRPr="00A35168">
        <w:rPr>
          <w:sz w:val="20"/>
          <w:szCs w:val="20"/>
        </w:rPr>
        <w:t>i</w:t>
      </w:r>
      <w:proofErr w:type="spellEnd"/>
      <w:r w:rsidRPr="00A35168">
        <w:rPr>
          <w:sz w:val="20"/>
          <w:szCs w:val="20"/>
        </w:rPr>
        <w:t xml:space="preserve">)  </w:t>
      </w:r>
      <w:proofErr w:type="gramStart"/>
      <w:r w:rsidRPr="00A35168">
        <w:rPr>
          <w:sz w:val="20"/>
          <w:szCs w:val="20"/>
        </w:rPr>
        <w:t>the</w:t>
      </w:r>
      <w:proofErr w:type="gramEnd"/>
      <w:r w:rsidRPr="00A35168">
        <w:rPr>
          <w:sz w:val="20"/>
          <w:szCs w:val="20"/>
        </w:rPr>
        <w:t xml:space="preserve"> decision whether to issue a journalist information warrant (including any facts and considerations which support the conclusion that a journalist information warrant should not be issued); </w:t>
      </w:r>
    </w:p>
    <w:p w:rsidR="00AF09CC" w:rsidRPr="00A35168" w:rsidRDefault="008E353D" w:rsidP="00A35168">
      <w:pPr>
        <w:ind w:left="567"/>
        <w:rPr>
          <w:b/>
          <w:sz w:val="20"/>
          <w:szCs w:val="20"/>
        </w:rPr>
      </w:pPr>
      <w:r w:rsidRPr="00A35168">
        <w:rPr>
          <w:sz w:val="20"/>
          <w:szCs w:val="20"/>
        </w:rPr>
        <w:t xml:space="preserve">(ii)  </w:t>
      </w:r>
      <w:proofErr w:type="gramStart"/>
      <w:r w:rsidRPr="00A35168">
        <w:rPr>
          <w:sz w:val="20"/>
          <w:szCs w:val="20"/>
        </w:rPr>
        <w:t>the</w:t>
      </w:r>
      <w:proofErr w:type="gramEnd"/>
      <w:r w:rsidRPr="00A35168">
        <w:rPr>
          <w:sz w:val="20"/>
          <w:szCs w:val="20"/>
        </w:rPr>
        <w:t xml:space="preserve"> decision about the conditions or restrictions (if any) that are to be specified in the warrant; and </w:t>
      </w:r>
    </w:p>
    <w:p w:rsidR="008E353D" w:rsidRPr="00A35168" w:rsidRDefault="003C6659" w:rsidP="00A35168">
      <w:pPr>
        <w:ind w:left="567"/>
        <w:rPr>
          <w:b/>
          <w:sz w:val="20"/>
          <w:szCs w:val="20"/>
        </w:rPr>
      </w:pPr>
      <w:r w:rsidRPr="00A35168">
        <w:rPr>
          <w:sz w:val="20"/>
          <w:szCs w:val="20"/>
        </w:rPr>
        <w:t>(</w:t>
      </w:r>
      <w:r w:rsidR="008E353D" w:rsidRPr="00A35168">
        <w:rPr>
          <w:sz w:val="20"/>
          <w:szCs w:val="20"/>
        </w:rPr>
        <w:t xml:space="preserve">b)  </w:t>
      </w:r>
      <w:proofErr w:type="gramStart"/>
      <w:r w:rsidR="008E353D" w:rsidRPr="00A35168">
        <w:rPr>
          <w:sz w:val="20"/>
          <w:szCs w:val="20"/>
        </w:rPr>
        <w:t>have</w:t>
      </w:r>
      <w:proofErr w:type="gramEnd"/>
      <w:r w:rsidR="008E353D" w:rsidRPr="00A35168">
        <w:rPr>
          <w:sz w:val="20"/>
          <w:szCs w:val="20"/>
        </w:rPr>
        <w:t xml:space="preserve"> not been satisfactorily addressed in the proposed request by the Director-General of Security or application by the enforcement agency. </w:t>
      </w:r>
    </w:p>
    <w:p w:rsidR="008506A6" w:rsidRPr="00B52F28" w:rsidRDefault="008E353D" w:rsidP="00B52F28">
      <w:pPr>
        <w:pStyle w:val="subsection"/>
        <w:keepNext/>
        <w:spacing w:before="240" w:beforeAutospacing="0" w:line="276" w:lineRule="auto"/>
        <w:ind w:left="720"/>
        <w:rPr>
          <w:rFonts w:asciiTheme="minorHAnsi" w:hAnsiTheme="minorHAnsi" w:cstheme="minorHAnsi"/>
          <w:sz w:val="20"/>
          <w:szCs w:val="20"/>
        </w:rPr>
      </w:pPr>
      <w:r w:rsidRPr="00B52F28">
        <w:rPr>
          <w:rFonts w:asciiTheme="minorHAnsi" w:hAnsiTheme="minorHAnsi" w:cstheme="minorHAnsi"/>
          <w:sz w:val="20"/>
          <w:szCs w:val="20"/>
        </w:rPr>
        <w:lastRenderedPageBreak/>
        <w:t xml:space="preserve">(3)  </w:t>
      </w:r>
      <w:proofErr w:type="spellStart"/>
      <w:r w:rsidRPr="00B52F28">
        <w:rPr>
          <w:rFonts w:asciiTheme="minorHAnsi" w:hAnsiTheme="minorHAnsi" w:cstheme="minorHAnsi"/>
          <w:sz w:val="20"/>
          <w:szCs w:val="20"/>
        </w:rPr>
        <w:t>Subregulation</w:t>
      </w:r>
      <w:proofErr w:type="spellEnd"/>
      <w:r w:rsidRPr="00B52F28">
        <w:rPr>
          <w:rFonts w:asciiTheme="minorHAnsi" w:hAnsiTheme="minorHAnsi" w:cstheme="minorHAnsi"/>
          <w:sz w:val="20"/>
          <w:szCs w:val="20"/>
        </w:rPr>
        <w:t xml:space="preserve"> (2) does not limit the facts or considerations that the Public Interest Advocate may include in his or her submission.</w:t>
      </w:r>
    </w:p>
    <w:p w:rsidR="00FE3002" w:rsidRPr="00B52F28" w:rsidRDefault="00CB4F29" w:rsidP="00B52F28">
      <w:pPr>
        <w:pStyle w:val="NoSpacing"/>
        <w:keepNext/>
        <w:spacing w:before="0" w:after="0" w:afterAutospacing="0" w:line="276" w:lineRule="auto"/>
        <w:ind w:left="431"/>
      </w:pPr>
      <w:r w:rsidRPr="00B52F28">
        <w:t xml:space="preserve">Similar provisions apply to oral submissions at a hearing </w:t>
      </w:r>
      <w:r w:rsidR="008B1012" w:rsidRPr="00B52F28">
        <w:t>see</w:t>
      </w:r>
      <w:r w:rsidRPr="00B52F28">
        <w:t xml:space="preserve"> (</w:t>
      </w:r>
      <w:r w:rsidR="004A5615" w:rsidRPr="00B52F28">
        <w:t xml:space="preserve">reg. </w:t>
      </w:r>
      <w:r w:rsidRPr="00B52F28">
        <w:t>10</w:t>
      </w:r>
      <w:r w:rsidR="006A27A0" w:rsidRPr="00B52F28">
        <w:t xml:space="preserve"> (3)</w:t>
      </w:r>
      <w:r w:rsidRPr="00B52F28">
        <w:t xml:space="preserve">). </w:t>
      </w:r>
    </w:p>
    <w:p w:rsidR="00292449" w:rsidRPr="00A4723B" w:rsidRDefault="00292449" w:rsidP="00E37F91">
      <w:pPr>
        <w:pStyle w:val="h2"/>
      </w:pPr>
      <w:bookmarkStart w:id="6" w:name="_Toc441824935"/>
      <w:r w:rsidRPr="00A4723B">
        <w:t>Support</w:t>
      </w:r>
      <w:bookmarkEnd w:id="6"/>
      <w:r w:rsidRPr="00A4723B">
        <w:t xml:space="preserve"> </w:t>
      </w:r>
      <w:r w:rsidR="00904F8A" w:rsidRPr="00A4723B">
        <w:t>for Special Advocates</w:t>
      </w:r>
    </w:p>
    <w:p w:rsidR="00074EFC" w:rsidRPr="00383845" w:rsidRDefault="000D4093" w:rsidP="00A35168">
      <w:pPr>
        <w:pStyle w:val="List1"/>
        <w:rPr>
          <w:b/>
        </w:rPr>
      </w:pPr>
      <w:r w:rsidRPr="00383845">
        <w:t xml:space="preserve">The recommendation of the COAG </w:t>
      </w:r>
      <w:r w:rsidR="00082E23" w:rsidRPr="00383845">
        <w:t>Review</w:t>
      </w:r>
      <w:r w:rsidR="00396DD6" w:rsidRPr="00383845">
        <w:t xml:space="preserve"> in </w:t>
      </w:r>
      <w:proofErr w:type="spellStart"/>
      <w:r w:rsidR="00396DD6" w:rsidRPr="00383845">
        <w:t>favour</w:t>
      </w:r>
      <w:proofErr w:type="spellEnd"/>
      <w:r w:rsidR="00396DD6" w:rsidRPr="00383845">
        <w:t xml:space="preserve"> of special advocates</w:t>
      </w:r>
      <w:r w:rsidR="00082E23" w:rsidRPr="00383845">
        <w:t xml:space="preserve"> </w:t>
      </w:r>
      <w:r w:rsidRPr="00383845">
        <w:t>is entitled to be given weight as such, particularly as it was chaired by the H</w:t>
      </w:r>
      <w:r w:rsidR="008F09E1" w:rsidRPr="00383845">
        <w:t>on</w:t>
      </w:r>
      <w:r w:rsidRPr="00383845">
        <w:t>.</w:t>
      </w:r>
      <w:r w:rsidR="008F09E1" w:rsidRPr="00383845">
        <w:t xml:space="preserve"> </w:t>
      </w:r>
      <w:r w:rsidRPr="00383845">
        <w:t xml:space="preserve">Anthony </w:t>
      </w:r>
      <w:proofErr w:type="spellStart"/>
      <w:r w:rsidRPr="00383845">
        <w:t>Whealy</w:t>
      </w:r>
      <w:proofErr w:type="spellEnd"/>
      <w:r w:rsidRPr="00383845">
        <w:t xml:space="preserve"> QC, a former judge with considerable experience in terrorism trials.</w:t>
      </w:r>
      <w:r w:rsidR="00F75BC5" w:rsidRPr="00383845">
        <w:t xml:space="preserve"> </w:t>
      </w:r>
      <w:r w:rsidRPr="00383845">
        <w:t>The former INSLM</w:t>
      </w:r>
      <w:r w:rsidR="006979C8">
        <w:t>, Bret Walker SC,</w:t>
      </w:r>
      <w:r w:rsidRPr="00383845">
        <w:t xml:space="preserve"> did not recommend special advocates either in relation to control orders or the NSI Act</w:t>
      </w:r>
      <w:r w:rsidR="0027446A" w:rsidRPr="00383845">
        <w:t xml:space="preserve">. </w:t>
      </w:r>
      <w:r w:rsidRPr="00383845">
        <w:t xml:space="preserve">He recommended </w:t>
      </w:r>
      <w:r w:rsidR="00F75BC5" w:rsidRPr="00383845">
        <w:t>the abolition of control orders</w:t>
      </w:r>
      <w:r w:rsidRPr="00383845">
        <w:t>.</w:t>
      </w:r>
      <w:r w:rsidR="00F75BC5" w:rsidRPr="00383845">
        <w:t xml:space="preserve"> </w:t>
      </w:r>
      <w:r w:rsidR="004F12B6" w:rsidRPr="00383845">
        <w:t>He did not suggest that the appointment of special advocates should not remain of active interest.</w:t>
      </w:r>
      <w:r w:rsidR="00547536">
        <w:rPr>
          <w:rStyle w:val="FootnoteReference"/>
        </w:rPr>
        <w:footnoteReference w:id="26"/>
      </w:r>
    </w:p>
    <w:p w:rsidR="00CB4104" w:rsidRPr="00357717" w:rsidRDefault="000D4093" w:rsidP="00A35168">
      <w:pPr>
        <w:pStyle w:val="List1"/>
        <w:rPr>
          <w:b/>
        </w:rPr>
      </w:pPr>
      <w:r w:rsidRPr="00383845">
        <w:t>The Law Council</w:t>
      </w:r>
      <w:r w:rsidR="00126559" w:rsidRPr="00383845">
        <w:t xml:space="preserve"> of Australia and the Australian Human Rights Commission </w:t>
      </w:r>
      <w:r w:rsidR="00D46AF4" w:rsidRPr="00383845">
        <w:t>submissions are</w:t>
      </w:r>
      <w:r w:rsidR="00407EAF" w:rsidRPr="00383845">
        <w:t xml:space="preserve"> </w:t>
      </w:r>
      <w:r w:rsidR="00126559" w:rsidRPr="00383845">
        <w:t>each</w:t>
      </w:r>
      <w:r w:rsidRPr="00383845">
        <w:t xml:space="preserve"> in </w:t>
      </w:r>
      <w:proofErr w:type="spellStart"/>
      <w:r w:rsidRPr="00383845">
        <w:t>favour</w:t>
      </w:r>
      <w:proofErr w:type="spellEnd"/>
      <w:r w:rsidR="00EF5F9A" w:rsidRPr="00383845">
        <w:t xml:space="preserve"> of special advocates </w:t>
      </w:r>
      <w:r w:rsidR="007F0F40">
        <w:t xml:space="preserve">on the assumption that </w:t>
      </w:r>
      <w:r w:rsidR="00EF5F9A" w:rsidRPr="00383845">
        <w:t>control orders are retained</w:t>
      </w:r>
      <w:r w:rsidR="00126559" w:rsidRPr="00383845">
        <w:t>.</w:t>
      </w:r>
      <w:r w:rsidR="00074EFC" w:rsidRPr="00383845">
        <w:t xml:space="preserve"> </w:t>
      </w:r>
      <w:r w:rsidR="00BD40D4" w:rsidRPr="00383845">
        <w:t>The New Zealand Law Commission has recently comprehensively reported on the general topic of the handling of security information and reviewed the UK experience including a visit to the UK. It recommends a system of special advocates.</w:t>
      </w:r>
      <w:r w:rsidR="00BD40D4" w:rsidRPr="00383845">
        <w:rPr>
          <w:rStyle w:val="FootnoteReference"/>
        </w:rPr>
        <w:footnoteReference w:id="27"/>
      </w:r>
      <w:r w:rsidR="00904F8A">
        <w:t xml:space="preserve"> The support of the UK Reviewer of Terrorism has been noted. </w:t>
      </w:r>
    </w:p>
    <w:p w:rsidR="00292449" w:rsidRPr="00A4723B" w:rsidRDefault="00292449" w:rsidP="00E37F91">
      <w:pPr>
        <w:pStyle w:val="h2"/>
      </w:pPr>
      <w:bookmarkStart w:id="7" w:name="_Toc441824936"/>
      <w:r w:rsidRPr="00A4723B">
        <w:t>What kind of advocate?</w:t>
      </w:r>
      <w:bookmarkEnd w:id="7"/>
      <w:r w:rsidRPr="00A4723B">
        <w:t xml:space="preserve"> </w:t>
      </w:r>
    </w:p>
    <w:p w:rsidR="000D4093" w:rsidRPr="00383845" w:rsidRDefault="000D4093" w:rsidP="00A35168">
      <w:pPr>
        <w:pStyle w:val="List1"/>
        <w:rPr>
          <w:b/>
        </w:rPr>
      </w:pPr>
      <w:r w:rsidRPr="00383845">
        <w:t xml:space="preserve">There is a choice as to the method of providing the advocate. The </w:t>
      </w:r>
      <w:r w:rsidR="00D53186" w:rsidRPr="00383845">
        <w:t>UK</w:t>
      </w:r>
      <w:r w:rsidRPr="00383845">
        <w:t xml:space="preserve"> system is to have a pool of security cleared counsel with the party having a choice</w:t>
      </w:r>
      <w:r w:rsidR="0036550D">
        <w:t xml:space="preserve"> of c</w:t>
      </w:r>
      <w:r w:rsidR="00904F8A">
        <w:t>ounsel</w:t>
      </w:r>
      <w:r w:rsidRPr="00383845">
        <w:t>. That has the advantage that the experience and abili</w:t>
      </w:r>
      <w:r w:rsidRPr="00A35168">
        <w:rPr>
          <w:rStyle w:val="listChar"/>
        </w:rPr>
        <w:t>t</w:t>
      </w:r>
      <w:r w:rsidRPr="00383845">
        <w:t xml:space="preserve">y of the counsel would be known and counsel would be accustomed to acting for a party. The alternative approach would take the </w:t>
      </w:r>
      <w:r w:rsidR="00126559" w:rsidRPr="00383845">
        <w:t xml:space="preserve">various </w:t>
      </w:r>
      <w:r w:rsidRPr="00383845">
        <w:t>Public Interest Monitors</w:t>
      </w:r>
      <w:r w:rsidR="00D46AF4" w:rsidRPr="00383845">
        <w:t xml:space="preserve"> and</w:t>
      </w:r>
      <w:r w:rsidR="0027446A" w:rsidRPr="00383845">
        <w:t xml:space="preserve"> </w:t>
      </w:r>
      <w:r w:rsidR="00407EAF" w:rsidRPr="00383845">
        <w:t>A</w:t>
      </w:r>
      <w:r w:rsidR="00126559" w:rsidRPr="00383845">
        <w:t>dvocates</w:t>
      </w:r>
      <w:r w:rsidRPr="00383845">
        <w:t xml:space="preserve"> as a guide. As noted, the Que</w:t>
      </w:r>
      <w:r w:rsidR="00F75BC5" w:rsidRPr="00383845">
        <w:t xml:space="preserve">ensland </w:t>
      </w:r>
      <w:r w:rsidR="00D46AF4" w:rsidRPr="00383845">
        <w:t>M</w:t>
      </w:r>
      <w:r w:rsidR="00F75BC5" w:rsidRPr="00383845">
        <w:t>onitor is involved now</w:t>
      </w:r>
      <w:r w:rsidRPr="00383845">
        <w:t>.</w:t>
      </w:r>
      <w:r w:rsidR="00F75BC5" w:rsidRPr="00383845">
        <w:t xml:space="preserve"> </w:t>
      </w:r>
      <w:r w:rsidRPr="00383845">
        <w:t>The Monitor would acquire national security expertise and could be give</w:t>
      </w:r>
      <w:r w:rsidR="00F75BC5" w:rsidRPr="00383845">
        <w:t>n a wider law enforcement remit</w:t>
      </w:r>
      <w:r w:rsidRPr="00383845">
        <w:t>.</w:t>
      </w:r>
      <w:r w:rsidR="00F75BC5" w:rsidRPr="00383845">
        <w:t xml:space="preserve"> </w:t>
      </w:r>
      <w:r w:rsidRPr="00383845">
        <w:t>However the Monitor’s role is not to advocate for a party and risks being seen by the affected parties as a part of the governmen</w:t>
      </w:r>
      <w:r w:rsidR="00F75BC5" w:rsidRPr="00383845">
        <w:t>t bureaucracy</w:t>
      </w:r>
      <w:r w:rsidR="00D46AF4" w:rsidRPr="00383845">
        <w:t>,</w:t>
      </w:r>
      <w:r w:rsidR="00F75BC5" w:rsidRPr="00383845">
        <w:t xml:space="preserve"> not to be trusted</w:t>
      </w:r>
      <w:r w:rsidRPr="00383845">
        <w:t>.</w:t>
      </w:r>
      <w:r w:rsidR="00D262BF">
        <w:rPr>
          <w:rStyle w:val="FootnoteReference"/>
        </w:rPr>
        <w:footnoteReference w:id="28"/>
      </w:r>
      <w:r w:rsidR="00F75BC5" w:rsidRPr="00383845">
        <w:t xml:space="preserve"> </w:t>
      </w:r>
      <w:r w:rsidRPr="00383845">
        <w:t xml:space="preserve">The COAG </w:t>
      </w:r>
      <w:r w:rsidR="0027446A" w:rsidRPr="00383845">
        <w:t xml:space="preserve">Review </w:t>
      </w:r>
      <w:r w:rsidRPr="00383845">
        <w:t xml:space="preserve">and the New Zealand Law Commission </w:t>
      </w:r>
      <w:proofErr w:type="spellStart"/>
      <w:r w:rsidRPr="00383845">
        <w:t>favour</w:t>
      </w:r>
      <w:proofErr w:type="spellEnd"/>
      <w:r w:rsidRPr="00383845">
        <w:t xml:space="preserve"> the </w:t>
      </w:r>
      <w:r w:rsidR="00D53186" w:rsidRPr="00383845">
        <w:t>UK</w:t>
      </w:r>
      <w:r w:rsidRPr="00383845">
        <w:t xml:space="preserve"> model and I agree</w:t>
      </w:r>
      <w:r w:rsidR="00F75BC5" w:rsidRPr="00383845">
        <w:t>.</w:t>
      </w:r>
      <w:r w:rsidR="00126559" w:rsidRPr="00383845">
        <w:t xml:space="preserve"> It is important that the advocate should unequivocally argue for the result most </w:t>
      </w:r>
      <w:proofErr w:type="spellStart"/>
      <w:r w:rsidR="00126559" w:rsidRPr="00383845">
        <w:t>favourable</w:t>
      </w:r>
      <w:proofErr w:type="spellEnd"/>
      <w:r w:rsidR="00126559" w:rsidRPr="00383845">
        <w:t xml:space="preserve"> to the potential controlee without consideration of either the public interest or the ‘best interests’ of the party.</w:t>
      </w:r>
    </w:p>
    <w:p w:rsidR="000D4093" w:rsidRPr="00A03154" w:rsidRDefault="00407EAF" w:rsidP="00A35168">
      <w:pPr>
        <w:pStyle w:val="List1"/>
        <w:rPr>
          <w:b/>
          <w:strike/>
        </w:rPr>
      </w:pPr>
      <w:r w:rsidRPr="00383845">
        <w:lastRenderedPageBreak/>
        <w:t>C</w:t>
      </w:r>
      <w:r w:rsidR="000D4093" w:rsidRPr="00383845">
        <w:t>ontact between the advocate and the party</w:t>
      </w:r>
      <w:r w:rsidRPr="00383845">
        <w:t xml:space="preserve"> is a contentious issue</w:t>
      </w:r>
      <w:r w:rsidR="000D4093" w:rsidRPr="00383845">
        <w:t xml:space="preserve">. Contact between the advocate and the party effectively does not occur in </w:t>
      </w:r>
      <w:r w:rsidR="0027446A" w:rsidRPr="00383845">
        <w:t xml:space="preserve">practice in </w:t>
      </w:r>
      <w:r w:rsidR="00463558" w:rsidRPr="00383845">
        <w:t xml:space="preserve">the UK </w:t>
      </w:r>
      <w:r w:rsidR="000D4093" w:rsidRPr="00383845">
        <w:t>after the advocate has access to the sensitive information</w:t>
      </w:r>
      <w:r w:rsidR="00D46AF4" w:rsidRPr="00383845">
        <w:t>.</w:t>
      </w:r>
      <w:r w:rsidR="00B40962" w:rsidRPr="00383845">
        <w:t xml:space="preserve"> </w:t>
      </w:r>
      <w:r w:rsidR="00D46AF4" w:rsidRPr="00383845">
        <w:t>P</w:t>
      </w:r>
      <w:r w:rsidR="00B40962" w:rsidRPr="00383845">
        <w:t xml:space="preserve">roposed </w:t>
      </w:r>
      <w:r w:rsidR="000D4093" w:rsidRPr="00383845">
        <w:t>communications have to be disclosed to the Crown party</w:t>
      </w:r>
      <w:r w:rsidR="00B40962" w:rsidRPr="00383845">
        <w:t xml:space="preserve"> and</w:t>
      </w:r>
      <w:r w:rsidR="00B21BBD" w:rsidRPr="00383845">
        <w:t xml:space="preserve"> </w:t>
      </w:r>
      <w:r w:rsidR="00D46AF4" w:rsidRPr="00383845">
        <w:t>the</w:t>
      </w:r>
      <w:r w:rsidR="0027446A" w:rsidRPr="00383845">
        <w:t xml:space="preserve"> advocate</w:t>
      </w:r>
      <w:r w:rsidR="00B40962" w:rsidRPr="00383845">
        <w:t>s</w:t>
      </w:r>
      <w:r w:rsidR="0027446A" w:rsidRPr="00383845">
        <w:t xml:space="preserve"> will not make such disclosure</w:t>
      </w:r>
      <w:r w:rsidR="000D4093" w:rsidRPr="00383845">
        <w:t>.</w:t>
      </w:r>
      <w:r w:rsidR="00F023A6">
        <w:rPr>
          <w:rStyle w:val="FootnoteReference"/>
        </w:rPr>
        <w:footnoteReference w:id="29"/>
      </w:r>
      <w:r w:rsidR="000D4093" w:rsidRPr="00383845">
        <w:t xml:space="preserve"> The New Zealand Law Commission has taken a slightly more liberal view than currently applies in </w:t>
      </w:r>
      <w:r w:rsidR="00463558" w:rsidRPr="00383845">
        <w:t xml:space="preserve">the UK </w:t>
      </w:r>
      <w:r w:rsidR="000D4093" w:rsidRPr="00383845">
        <w:t xml:space="preserve">in </w:t>
      </w:r>
      <w:proofErr w:type="spellStart"/>
      <w:r w:rsidR="000D4093" w:rsidRPr="00383845">
        <w:t>favouring</w:t>
      </w:r>
      <w:proofErr w:type="spellEnd"/>
      <w:r w:rsidR="000D4093" w:rsidRPr="00383845">
        <w:t xml:space="preserve"> the court overseeing the communications</w:t>
      </w:r>
      <w:r w:rsidR="00990B7E" w:rsidRPr="00383845">
        <w:t xml:space="preserve"> without disclosure to the authorities</w:t>
      </w:r>
      <w:r w:rsidR="000D4093" w:rsidRPr="00383845">
        <w:t xml:space="preserve">. </w:t>
      </w:r>
      <w:r w:rsidR="00B40962" w:rsidRPr="00383845">
        <w:t>T</w:t>
      </w:r>
      <w:r w:rsidR="000D4093" w:rsidRPr="00383845">
        <w:t xml:space="preserve">he </w:t>
      </w:r>
      <w:r w:rsidR="00D53186" w:rsidRPr="00383845">
        <w:t>UK</w:t>
      </w:r>
      <w:r w:rsidR="000D4093" w:rsidRPr="00383845">
        <w:t xml:space="preserve"> model </w:t>
      </w:r>
      <w:r w:rsidR="00B40962" w:rsidRPr="00383845">
        <w:t xml:space="preserve">is appropriate </w:t>
      </w:r>
      <w:r w:rsidR="00155D11" w:rsidRPr="00383845">
        <w:t xml:space="preserve">in the context of </w:t>
      </w:r>
      <w:r w:rsidR="00B40962" w:rsidRPr="00383845">
        <w:t>schedule 15 of the 2015 Bill</w:t>
      </w:r>
      <w:r w:rsidR="00D46AF4" w:rsidRPr="00383845">
        <w:t xml:space="preserve"> as the NSI Act does not govern the substantive control order </w:t>
      </w:r>
      <w:r w:rsidR="00AA71B3" w:rsidRPr="00383845">
        <w:t>application.</w:t>
      </w:r>
      <w:r w:rsidR="00644374">
        <w:t xml:space="preserve"> The issues in relation to the substantive application will be considered in the </w:t>
      </w:r>
      <w:r w:rsidR="00904F8A">
        <w:t>next</w:t>
      </w:r>
      <w:r w:rsidR="00644374">
        <w:t xml:space="preserve"> part of the Report on the Reference.</w:t>
      </w:r>
    </w:p>
    <w:p w:rsidR="0011391C" w:rsidRPr="00383845" w:rsidRDefault="0011391C" w:rsidP="00A35168">
      <w:pPr>
        <w:pStyle w:val="List1"/>
        <w:rPr>
          <w:b/>
        </w:rPr>
      </w:pPr>
      <w:r w:rsidRPr="00383845">
        <w:t xml:space="preserve">Attention would need to be given as to means of preventing either side from using the special advocate as a reason for not arriving at sensible arrangements </w:t>
      </w:r>
      <w:r w:rsidR="00904F8A">
        <w:t xml:space="preserve">pursuant to s 22 of the NSI Act </w:t>
      </w:r>
      <w:r w:rsidRPr="00383845">
        <w:t>as has been the case to date.</w:t>
      </w:r>
      <w:r w:rsidR="00904F8A">
        <w:t xml:space="preserve"> Use of a special advocate should be a last resort rather than becoming a routine part of the landscape. </w:t>
      </w:r>
    </w:p>
    <w:p w:rsidR="000D4093" w:rsidRPr="00383845" w:rsidRDefault="000D4093" w:rsidP="00A35168">
      <w:pPr>
        <w:pStyle w:val="List1"/>
        <w:rPr>
          <w:b/>
        </w:rPr>
      </w:pPr>
      <w:r w:rsidRPr="00383845">
        <w:t xml:space="preserve">The New Zealand Law Commission report is a useful </w:t>
      </w:r>
      <w:r w:rsidR="00B21BBD" w:rsidRPr="00383845">
        <w:t>introduction</w:t>
      </w:r>
      <w:r w:rsidRPr="00383845">
        <w:t xml:space="preserve"> to other practical issues that arise.</w:t>
      </w:r>
      <w:r w:rsidR="00C51B18">
        <w:rPr>
          <w:rStyle w:val="FootnoteReference"/>
        </w:rPr>
        <w:footnoteReference w:id="30"/>
      </w:r>
    </w:p>
    <w:p w:rsidR="000D4093" w:rsidRPr="00A4723B" w:rsidRDefault="000D4093" w:rsidP="00E37F91">
      <w:pPr>
        <w:pStyle w:val="h2"/>
        <w:numPr>
          <w:ilvl w:val="0"/>
          <w:numId w:val="0"/>
        </w:numPr>
        <w:ind w:left="431"/>
      </w:pPr>
      <w:bookmarkStart w:id="8" w:name="_Toc441824937"/>
      <w:r w:rsidRPr="00A4723B">
        <w:t>RECOMMENDATION</w:t>
      </w:r>
      <w:r w:rsidR="00126559" w:rsidRPr="00A4723B">
        <w:t>S</w:t>
      </w:r>
      <w:bookmarkEnd w:id="8"/>
    </w:p>
    <w:p w:rsidR="000D4093" w:rsidRPr="00383845" w:rsidRDefault="00EF5F9A" w:rsidP="00E37F91">
      <w:pPr>
        <w:pStyle w:val="ListParagraph"/>
        <w:numPr>
          <w:ilvl w:val="0"/>
          <w:numId w:val="1"/>
        </w:numPr>
        <w:spacing w:before="240"/>
        <w:ind w:left="567" w:hanging="567"/>
        <w:rPr>
          <w:rFonts w:asciiTheme="minorHAnsi" w:hAnsiTheme="minorHAnsi" w:cstheme="minorHAnsi"/>
        </w:rPr>
      </w:pPr>
      <w:r w:rsidRPr="00383845">
        <w:rPr>
          <w:rFonts w:asciiTheme="minorHAnsi" w:hAnsiTheme="minorHAnsi" w:cstheme="minorHAnsi"/>
        </w:rPr>
        <w:t xml:space="preserve">That the </w:t>
      </w:r>
      <w:r w:rsidR="00FA3A77" w:rsidRPr="00383845">
        <w:rPr>
          <w:rFonts w:asciiTheme="minorHAnsi" w:hAnsiTheme="minorHAnsi" w:cstheme="minorHAnsi"/>
        </w:rPr>
        <w:t>recommendation</w:t>
      </w:r>
      <w:r w:rsidRPr="00383845">
        <w:rPr>
          <w:rFonts w:asciiTheme="minorHAnsi" w:hAnsiTheme="minorHAnsi" w:cstheme="minorHAnsi"/>
        </w:rPr>
        <w:t xml:space="preserve"> of the COAG Review as to the </w:t>
      </w:r>
      <w:r w:rsidR="00074EFC" w:rsidRPr="00383845">
        <w:rPr>
          <w:rFonts w:asciiTheme="minorHAnsi" w:hAnsiTheme="minorHAnsi" w:cstheme="minorHAnsi"/>
        </w:rPr>
        <w:t>introduction</w:t>
      </w:r>
      <w:r w:rsidRPr="00383845">
        <w:rPr>
          <w:rFonts w:asciiTheme="minorHAnsi" w:hAnsiTheme="minorHAnsi" w:cstheme="minorHAnsi"/>
        </w:rPr>
        <w:t xml:space="preserve"> of a system of special advocates </w:t>
      </w:r>
      <w:r w:rsidR="00384B7E" w:rsidRPr="00383845">
        <w:rPr>
          <w:rFonts w:asciiTheme="minorHAnsi" w:hAnsiTheme="minorHAnsi" w:cstheme="minorHAnsi"/>
        </w:rPr>
        <w:t>into</w:t>
      </w:r>
      <w:r w:rsidR="00074EFC" w:rsidRPr="00383845">
        <w:rPr>
          <w:rFonts w:asciiTheme="minorHAnsi" w:hAnsiTheme="minorHAnsi" w:cstheme="minorHAnsi"/>
        </w:rPr>
        <w:t xml:space="preserve"> </w:t>
      </w:r>
      <w:r w:rsidR="004F5977" w:rsidRPr="00383845">
        <w:rPr>
          <w:rFonts w:asciiTheme="minorHAnsi" w:hAnsiTheme="minorHAnsi" w:cstheme="minorHAnsi"/>
        </w:rPr>
        <w:t>the control order regime be accepted and implemented</w:t>
      </w:r>
      <w:r w:rsidR="00970795">
        <w:rPr>
          <w:rFonts w:asciiTheme="minorHAnsi" w:hAnsiTheme="minorHAnsi" w:cstheme="minorHAnsi"/>
        </w:rPr>
        <w:t>,</w:t>
      </w:r>
      <w:r w:rsidR="004F5977" w:rsidRPr="00383845">
        <w:rPr>
          <w:rFonts w:asciiTheme="minorHAnsi" w:hAnsiTheme="minorHAnsi" w:cstheme="minorHAnsi"/>
        </w:rPr>
        <w:t xml:space="preserve"> if</w:t>
      </w:r>
      <w:r w:rsidR="00650428" w:rsidRPr="00383845">
        <w:rPr>
          <w:rFonts w:asciiTheme="minorHAnsi" w:hAnsiTheme="minorHAnsi" w:cstheme="minorHAnsi"/>
        </w:rPr>
        <w:t xml:space="preserve"> proposed</w:t>
      </w:r>
      <w:r w:rsidR="004F5977" w:rsidRPr="00383845">
        <w:rPr>
          <w:rFonts w:asciiTheme="minorHAnsi" w:hAnsiTheme="minorHAnsi" w:cstheme="minorHAnsi"/>
        </w:rPr>
        <w:t xml:space="preserve"> </w:t>
      </w:r>
      <w:r w:rsidR="00126559" w:rsidRPr="00383845">
        <w:rPr>
          <w:rFonts w:asciiTheme="minorHAnsi" w:hAnsiTheme="minorHAnsi" w:cstheme="minorHAnsi"/>
        </w:rPr>
        <w:t xml:space="preserve">s 38J </w:t>
      </w:r>
      <w:r w:rsidR="00650428" w:rsidRPr="00383845">
        <w:rPr>
          <w:rFonts w:asciiTheme="minorHAnsi" w:hAnsiTheme="minorHAnsi" w:cstheme="minorHAnsi"/>
        </w:rPr>
        <w:t xml:space="preserve">of the NSI Act </w:t>
      </w:r>
      <w:r w:rsidR="00155D11" w:rsidRPr="00383845">
        <w:rPr>
          <w:rFonts w:asciiTheme="minorHAnsi" w:hAnsiTheme="minorHAnsi" w:cstheme="minorHAnsi"/>
        </w:rPr>
        <w:t xml:space="preserve">in </w:t>
      </w:r>
      <w:r w:rsidR="004F5977" w:rsidRPr="00383845">
        <w:rPr>
          <w:rFonts w:asciiTheme="minorHAnsi" w:hAnsiTheme="minorHAnsi" w:cstheme="minorHAnsi"/>
        </w:rPr>
        <w:t xml:space="preserve">Schedule 15 of the </w:t>
      </w:r>
      <w:r w:rsidR="00422849" w:rsidRPr="00383845">
        <w:rPr>
          <w:rFonts w:asciiTheme="minorHAnsi" w:hAnsiTheme="minorHAnsi" w:cstheme="minorHAnsi"/>
        </w:rPr>
        <w:t>2015 Bill</w:t>
      </w:r>
      <w:r w:rsidR="004F5977" w:rsidRPr="00383845">
        <w:rPr>
          <w:rFonts w:asciiTheme="minorHAnsi" w:hAnsiTheme="minorHAnsi" w:cstheme="minorHAnsi"/>
        </w:rPr>
        <w:t xml:space="preserve"> </w:t>
      </w:r>
      <w:r w:rsidR="00155D11" w:rsidRPr="00383845">
        <w:rPr>
          <w:rFonts w:asciiTheme="minorHAnsi" w:hAnsiTheme="minorHAnsi" w:cstheme="minorHAnsi"/>
        </w:rPr>
        <w:t xml:space="preserve">is to </w:t>
      </w:r>
      <w:r w:rsidR="004F5977" w:rsidRPr="00383845">
        <w:rPr>
          <w:rFonts w:asciiTheme="minorHAnsi" w:hAnsiTheme="minorHAnsi" w:cstheme="minorHAnsi"/>
        </w:rPr>
        <w:t>become law</w:t>
      </w:r>
      <w:r w:rsidR="00763B43" w:rsidRPr="00383845">
        <w:rPr>
          <w:rFonts w:asciiTheme="minorHAnsi" w:hAnsiTheme="minorHAnsi" w:cstheme="minorHAnsi"/>
        </w:rPr>
        <w:t xml:space="preserve">; and </w:t>
      </w:r>
    </w:p>
    <w:p w:rsidR="00126559" w:rsidRPr="00383845" w:rsidRDefault="00126559" w:rsidP="00E37F91">
      <w:pPr>
        <w:pStyle w:val="ListParagraph"/>
        <w:spacing w:before="240"/>
        <w:ind w:left="567" w:hanging="567"/>
        <w:rPr>
          <w:rFonts w:asciiTheme="minorHAnsi" w:hAnsiTheme="minorHAnsi" w:cstheme="minorHAnsi"/>
        </w:rPr>
      </w:pPr>
    </w:p>
    <w:p w:rsidR="000D4093" w:rsidRPr="00383845" w:rsidRDefault="00126559" w:rsidP="00E37F91">
      <w:pPr>
        <w:pStyle w:val="ListParagraph"/>
        <w:numPr>
          <w:ilvl w:val="0"/>
          <w:numId w:val="1"/>
        </w:numPr>
        <w:spacing w:before="240"/>
        <w:ind w:left="567" w:hanging="567"/>
        <w:rPr>
          <w:rFonts w:asciiTheme="minorHAnsi" w:hAnsiTheme="minorHAnsi" w:cstheme="minorHAnsi"/>
        </w:rPr>
      </w:pPr>
      <w:r w:rsidRPr="00383845">
        <w:rPr>
          <w:rFonts w:asciiTheme="minorHAnsi" w:hAnsiTheme="minorHAnsi" w:cstheme="minorHAnsi"/>
        </w:rPr>
        <w:t>That</w:t>
      </w:r>
      <w:r w:rsidR="00650428" w:rsidRPr="00383845">
        <w:rPr>
          <w:rFonts w:asciiTheme="minorHAnsi" w:hAnsiTheme="minorHAnsi" w:cstheme="minorHAnsi"/>
        </w:rPr>
        <w:t xml:space="preserve"> proposed</w:t>
      </w:r>
      <w:r w:rsidRPr="00383845">
        <w:rPr>
          <w:rFonts w:asciiTheme="minorHAnsi" w:hAnsiTheme="minorHAnsi" w:cstheme="minorHAnsi"/>
        </w:rPr>
        <w:t xml:space="preserve"> </w:t>
      </w:r>
      <w:r w:rsidR="00155D11" w:rsidRPr="00383845">
        <w:rPr>
          <w:rFonts w:asciiTheme="minorHAnsi" w:hAnsiTheme="minorHAnsi" w:cstheme="minorHAnsi"/>
        </w:rPr>
        <w:t xml:space="preserve">s 38J </w:t>
      </w:r>
      <w:r w:rsidR="00650428" w:rsidRPr="00383845">
        <w:rPr>
          <w:rFonts w:asciiTheme="minorHAnsi" w:hAnsiTheme="minorHAnsi" w:cstheme="minorHAnsi"/>
        </w:rPr>
        <w:t xml:space="preserve">of the NSI Act </w:t>
      </w:r>
      <w:r w:rsidR="00155D11" w:rsidRPr="00383845">
        <w:rPr>
          <w:rFonts w:asciiTheme="minorHAnsi" w:hAnsiTheme="minorHAnsi" w:cstheme="minorHAnsi"/>
        </w:rPr>
        <w:t xml:space="preserve">in </w:t>
      </w:r>
      <w:r w:rsidRPr="00383845">
        <w:rPr>
          <w:rFonts w:asciiTheme="minorHAnsi" w:hAnsiTheme="minorHAnsi" w:cstheme="minorHAnsi"/>
        </w:rPr>
        <w:t xml:space="preserve">Schedule 15 of the </w:t>
      </w:r>
      <w:r w:rsidR="00422849" w:rsidRPr="00383845">
        <w:rPr>
          <w:rFonts w:asciiTheme="minorHAnsi" w:hAnsiTheme="minorHAnsi" w:cstheme="minorHAnsi"/>
        </w:rPr>
        <w:t>2015 Bill</w:t>
      </w:r>
      <w:r w:rsidRPr="00383845">
        <w:rPr>
          <w:rFonts w:asciiTheme="minorHAnsi" w:hAnsiTheme="minorHAnsi" w:cstheme="minorHAnsi"/>
        </w:rPr>
        <w:t xml:space="preserve"> should not come into force until Recommendation 1 has been implemented. </w:t>
      </w:r>
    </w:p>
    <w:sectPr w:rsidR="000D4093" w:rsidRPr="00383845" w:rsidSect="00AF6796">
      <w:footerReference w:type="first" r:id="rId23"/>
      <w:pgSz w:w="12240" w:h="15840"/>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4093" w:rsidRDefault="000D4093" w:rsidP="000D4093">
      <w:pPr>
        <w:spacing w:after="0" w:line="240" w:lineRule="auto"/>
      </w:pPr>
      <w:r>
        <w:separator/>
      </w:r>
    </w:p>
  </w:endnote>
  <w:endnote w:type="continuationSeparator" w:id="0">
    <w:p w:rsidR="000D4093" w:rsidRDefault="000D4093" w:rsidP="000D40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8334426"/>
      <w:docPartObj>
        <w:docPartGallery w:val="Page Numbers (Bottom of Page)"/>
        <w:docPartUnique/>
      </w:docPartObj>
    </w:sdtPr>
    <w:sdtEndPr>
      <w:rPr>
        <w:noProof/>
      </w:rPr>
    </w:sdtEndPr>
    <w:sdtContent>
      <w:p w:rsidR="007F7FBE" w:rsidRDefault="007F7FBE">
        <w:pPr>
          <w:pStyle w:val="Footer"/>
          <w:jc w:val="right"/>
        </w:pPr>
        <w:r>
          <w:fldChar w:fldCharType="begin"/>
        </w:r>
        <w:r>
          <w:instrText xml:space="preserve"> PAGE   \* MERGEFORMAT </w:instrText>
        </w:r>
        <w:r>
          <w:fldChar w:fldCharType="separate"/>
        </w:r>
        <w:r w:rsidR="00C760EF">
          <w:rPr>
            <w:noProof/>
          </w:rPr>
          <w:t>1</w:t>
        </w:r>
        <w:r>
          <w:rPr>
            <w:noProof/>
          </w:rPr>
          <w:fldChar w:fldCharType="end"/>
        </w:r>
      </w:p>
    </w:sdtContent>
  </w:sdt>
  <w:p w:rsidR="00A661BB" w:rsidRDefault="00C760E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7FBE" w:rsidRDefault="007F7F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4093" w:rsidRDefault="000D4093" w:rsidP="000D4093">
      <w:pPr>
        <w:spacing w:after="0" w:line="240" w:lineRule="auto"/>
      </w:pPr>
      <w:r>
        <w:separator/>
      </w:r>
    </w:p>
  </w:footnote>
  <w:footnote w:type="continuationSeparator" w:id="0">
    <w:p w:rsidR="000D4093" w:rsidRDefault="000D4093" w:rsidP="000D4093">
      <w:pPr>
        <w:spacing w:after="0" w:line="240" w:lineRule="auto"/>
      </w:pPr>
      <w:r>
        <w:continuationSeparator/>
      </w:r>
    </w:p>
  </w:footnote>
  <w:footnote w:id="1">
    <w:p w:rsidR="000D4093" w:rsidRPr="00A03154" w:rsidRDefault="000D4093" w:rsidP="00810941">
      <w:pPr>
        <w:pStyle w:val="FootnoteText"/>
        <w:spacing w:after="0" w:line="240" w:lineRule="auto"/>
      </w:pPr>
      <w:r w:rsidRPr="00A03154">
        <w:rPr>
          <w:rStyle w:val="FootnoteReference"/>
        </w:rPr>
        <w:footnoteRef/>
      </w:r>
      <w:r w:rsidRPr="00A03154">
        <w:t xml:space="preserve"> </w:t>
      </w:r>
      <w:proofErr w:type="gramStart"/>
      <w:r w:rsidRPr="00A03154">
        <w:rPr>
          <w:i/>
        </w:rPr>
        <w:t>Council of Australian Governments Review of Counter-Terrorism Legislation 2013</w:t>
      </w:r>
      <w:r w:rsidRPr="00A03154">
        <w:t xml:space="preserve">, p </w:t>
      </w:r>
      <w:r w:rsidR="00D37690" w:rsidRPr="00A03154">
        <w:t>97</w:t>
      </w:r>
      <w:r w:rsidRPr="00A03154">
        <w:t>.</w:t>
      </w:r>
      <w:proofErr w:type="gramEnd"/>
    </w:p>
  </w:footnote>
  <w:footnote w:id="2">
    <w:p w:rsidR="00D44F09" w:rsidRPr="00A03154" w:rsidRDefault="00D44F09" w:rsidP="00810941">
      <w:pPr>
        <w:pStyle w:val="FootnoteText"/>
        <w:spacing w:after="0" w:line="240" w:lineRule="auto"/>
        <w:rPr>
          <w:lang w:val="en-AU"/>
        </w:rPr>
      </w:pPr>
      <w:r w:rsidRPr="00A03154">
        <w:rPr>
          <w:rStyle w:val="FootnoteReference"/>
        </w:rPr>
        <w:footnoteRef/>
      </w:r>
      <w:r w:rsidRPr="00A03154">
        <w:t xml:space="preserve"> </w:t>
      </w:r>
      <w:proofErr w:type="gramStart"/>
      <w:r w:rsidR="00B372D3">
        <w:t xml:space="preserve">Parliamentary Joint Committee on Intelligence and Security, </w:t>
      </w:r>
      <w:r w:rsidRPr="00A03154">
        <w:rPr>
          <w:i/>
          <w:lang w:val="en-AU"/>
        </w:rPr>
        <w:t>Advisory Report on the Counter-Terrorism</w:t>
      </w:r>
      <w:r w:rsidR="007A3B66" w:rsidRPr="00A03154">
        <w:rPr>
          <w:i/>
          <w:lang w:val="en-AU"/>
        </w:rPr>
        <w:t xml:space="preserve"> Legislation Amendment Bill (No </w:t>
      </w:r>
      <w:r w:rsidRPr="00A03154">
        <w:rPr>
          <w:i/>
          <w:lang w:val="en-AU"/>
        </w:rPr>
        <w:t>1) 2014</w:t>
      </w:r>
      <w:r w:rsidR="00510613" w:rsidRPr="00A03154">
        <w:rPr>
          <w:lang w:val="en-AU"/>
        </w:rPr>
        <w:t xml:space="preserve">, </w:t>
      </w:r>
      <w:r w:rsidR="00B372D3">
        <w:rPr>
          <w:lang w:val="en-AU"/>
        </w:rPr>
        <w:t>November 2014</w:t>
      </w:r>
      <w:r w:rsidR="004B5ECB">
        <w:rPr>
          <w:lang w:val="en-AU"/>
        </w:rPr>
        <w:t>, Recommendation 1</w:t>
      </w:r>
      <w:r w:rsidR="00510613" w:rsidRPr="00A03154">
        <w:rPr>
          <w:lang w:val="en-AU"/>
        </w:rPr>
        <w:t>.</w:t>
      </w:r>
      <w:proofErr w:type="gramEnd"/>
    </w:p>
  </w:footnote>
  <w:footnote w:id="3">
    <w:p w:rsidR="00763B43" w:rsidRPr="00A03154" w:rsidRDefault="00763B43" w:rsidP="00810941">
      <w:pPr>
        <w:pStyle w:val="FootnoteText"/>
        <w:spacing w:after="0" w:line="240" w:lineRule="auto"/>
        <w:rPr>
          <w:lang w:val="en-AU"/>
        </w:rPr>
      </w:pPr>
      <w:r w:rsidRPr="00A03154">
        <w:rPr>
          <w:rStyle w:val="FootnoteReference"/>
        </w:rPr>
        <w:footnoteRef/>
      </w:r>
      <w:r w:rsidRPr="00A03154">
        <w:t xml:space="preserve"> Independent National Security Legislation </w:t>
      </w:r>
      <w:proofErr w:type="gramStart"/>
      <w:r w:rsidRPr="00A03154">
        <w:t>Monito</w:t>
      </w:r>
      <w:r w:rsidR="00EF174E" w:rsidRPr="00A03154">
        <w:t>r</w:t>
      </w:r>
      <w:r w:rsidR="009F15BC" w:rsidRPr="00A03154">
        <w:t>,</w:t>
      </w:r>
      <w:proofErr w:type="gramEnd"/>
      <w:r w:rsidRPr="00A03154">
        <w:t xml:space="preserve"> </w:t>
      </w:r>
      <w:r w:rsidRPr="00A03154">
        <w:rPr>
          <w:i/>
          <w:iCs/>
        </w:rPr>
        <w:t>Declassified Annual Report</w:t>
      </w:r>
      <w:r w:rsidRPr="00A03154">
        <w:rPr>
          <w:i/>
        </w:rPr>
        <w:t xml:space="preserve"> 20</w:t>
      </w:r>
      <w:r w:rsidR="000E2688" w:rsidRPr="00A03154">
        <w:rPr>
          <w:i/>
        </w:rPr>
        <w:t>th</w:t>
      </w:r>
      <w:r w:rsidRPr="00A03154">
        <w:rPr>
          <w:i/>
        </w:rPr>
        <w:t xml:space="preserve"> December 2012</w:t>
      </w:r>
      <w:r w:rsidR="0098635B">
        <w:t xml:space="preserve">, Recommendation </w:t>
      </w:r>
      <w:r w:rsidR="000D7D0C">
        <w:t>II/4.</w:t>
      </w:r>
    </w:p>
  </w:footnote>
  <w:footnote w:id="4">
    <w:p w:rsidR="000D4093" w:rsidRPr="00A03154" w:rsidRDefault="000D4093" w:rsidP="00810941">
      <w:pPr>
        <w:pStyle w:val="FootnoteText"/>
        <w:spacing w:after="0" w:line="240" w:lineRule="auto"/>
        <w:rPr>
          <w:lang w:val="en-AU"/>
        </w:rPr>
      </w:pPr>
      <w:r w:rsidRPr="00A03154">
        <w:rPr>
          <w:rStyle w:val="FootnoteReference"/>
        </w:rPr>
        <w:footnoteRef/>
      </w:r>
      <w:r w:rsidRPr="00A03154">
        <w:t xml:space="preserve"> Gilbert and Tobin Centre of Public Law </w:t>
      </w:r>
      <w:proofErr w:type="gramStart"/>
      <w:r w:rsidR="00524FCD">
        <w:t>has</w:t>
      </w:r>
      <w:proofErr w:type="gramEnd"/>
      <w:r w:rsidR="00524FCD">
        <w:t xml:space="preserve"> </w:t>
      </w:r>
      <w:r w:rsidRPr="00A03154">
        <w:t>recommend</w:t>
      </w:r>
      <w:r w:rsidR="00524FCD">
        <w:t>ed</w:t>
      </w:r>
      <w:r w:rsidRPr="00A03154">
        <w:t xml:space="preserve"> the abolition of control orders (</w:t>
      </w:r>
      <w:r w:rsidR="005632E2" w:rsidRPr="00A03154">
        <w:t xml:space="preserve">18 September 2015, </w:t>
      </w:r>
      <w:r w:rsidRPr="00A03154">
        <w:t>Annexure</w:t>
      </w:r>
      <w:r w:rsidR="00087E80">
        <w:t> </w:t>
      </w:r>
      <w:r w:rsidRPr="00A03154">
        <w:t>2, page 4, Recommendation 19).</w:t>
      </w:r>
      <w:r w:rsidR="000642BC" w:rsidRPr="00A03154">
        <w:t xml:space="preserve"> </w:t>
      </w:r>
      <w:r w:rsidRPr="00A03154">
        <w:t xml:space="preserve">The Law Council of Australia also </w:t>
      </w:r>
      <w:r w:rsidR="00524FCD">
        <w:t xml:space="preserve">has </w:t>
      </w:r>
      <w:r w:rsidRPr="00A03154">
        <w:t>recommend</w:t>
      </w:r>
      <w:r w:rsidR="00524FCD">
        <w:t>ed</w:t>
      </w:r>
      <w:r w:rsidRPr="00A03154">
        <w:t xml:space="preserve"> repeal of the control order regime (30 September 2015, page 3). </w:t>
      </w:r>
      <w:r w:rsidR="00786F55" w:rsidRPr="00A03154">
        <w:t>The Australian</w:t>
      </w:r>
      <w:r w:rsidR="00584772" w:rsidRPr="00A03154">
        <w:t xml:space="preserve"> Human Rights Commission (AHRC) raise concerns that the control order regime may be in breach of the right to: arbitrary detention, privacy, rights to free</w:t>
      </w:r>
      <w:r w:rsidR="00CC7C89" w:rsidRPr="00A03154">
        <w:t>dom</w:t>
      </w:r>
      <w:r w:rsidR="00584772" w:rsidRPr="00A03154">
        <w:t xml:space="preserve"> of movement</w:t>
      </w:r>
      <w:r w:rsidR="00CC7C89" w:rsidRPr="00A03154">
        <w:t>, expression and association</w:t>
      </w:r>
      <w:r w:rsidR="00110983">
        <w:t>,</w:t>
      </w:r>
      <w:r w:rsidR="00087E80">
        <w:t xml:space="preserve"> found in </w:t>
      </w:r>
      <w:r w:rsidR="00CC7C89" w:rsidRPr="00A03154">
        <w:t>articles 9, 17, 12, 19 and 22 of the International Convention on Civil and Political Rights (ICCPR), respectively. The AHRC is also concerned that control orders do not provide effective review procedures (</w:t>
      </w:r>
      <w:r w:rsidR="005632E2" w:rsidRPr="00A03154">
        <w:t xml:space="preserve">17 September 2015, p 2). </w:t>
      </w:r>
      <w:r w:rsidR="005C2FFB" w:rsidRPr="00A03154">
        <w:t xml:space="preserve">See also </w:t>
      </w:r>
      <w:r w:rsidR="005632E2" w:rsidRPr="00A03154">
        <w:t>Michael Bradley, Mar</w:t>
      </w:r>
      <w:r w:rsidR="00C332B1" w:rsidRPr="00A03154">
        <w:t xml:space="preserve">que Lawyers </w:t>
      </w:r>
      <w:r w:rsidR="005632E2" w:rsidRPr="00A03154">
        <w:t>(18</w:t>
      </w:r>
      <w:r w:rsidR="005C2FFB" w:rsidRPr="00A03154">
        <w:t> </w:t>
      </w:r>
      <w:r w:rsidR="005632E2" w:rsidRPr="00A03154">
        <w:t>September 2015, p 1)</w:t>
      </w:r>
      <w:r w:rsidR="00110983">
        <w:t xml:space="preserve"> and </w:t>
      </w:r>
      <w:r w:rsidR="007A3B66" w:rsidRPr="00A03154">
        <w:t>Lisa Burton and George Williams, ‘What future for Australia’s Control Order Regime’ (2013</w:t>
      </w:r>
      <w:proofErr w:type="gramStart"/>
      <w:r w:rsidR="007A3B66" w:rsidRPr="00A03154">
        <w:t xml:space="preserve">) </w:t>
      </w:r>
      <w:r w:rsidR="005C2FFB" w:rsidRPr="00A03154">
        <w:t xml:space="preserve"> </w:t>
      </w:r>
      <w:r w:rsidR="005C2FFB" w:rsidRPr="00A03154">
        <w:rPr>
          <w:i/>
        </w:rPr>
        <w:t>Public</w:t>
      </w:r>
      <w:proofErr w:type="gramEnd"/>
      <w:r w:rsidR="005C2FFB" w:rsidRPr="00A03154">
        <w:rPr>
          <w:i/>
        </w:rPr>
        <w:t xml:space="preserve"> Law Review</w:t>
      </w:r>
      <w:r w:rsidR="005C2FFB" w:rsidRPr="00A03154">
        <w:t xml:space="preserve"> Vol 24, pp 182-208</w:t>
      </w:r>
      <w:r w:rsidR="007A3B66" w:rsidRPr="00A03154">
        <w:t>.</w:t>
      </w:r>
    </w:p>
  </w:footnote>
  <w:footnote w:id="5">
    <w:p w:rsidR="009F15BC" w:rsidRPr="00A03154" w:rsidRDefault="009F15BC" w:rsidP="00583D8C">
      <w:pPr>
        <w:pStyle w:val="FootnoteText"/>
        <w:spacing w:after="0"/>
        <w:rPr>
          <w:lang w:val="en-AU"/>
        </w:rPr>
      </w:pPr>
      <w:r w:rsidRPr="006D4918">
        <w:rPr>
          <w:rStyle w:val="FootnoteReference"/>
        </w:rPr>
        <w:footnoteRef/>
      </w:r>
      <w:r w:rsidRPr="006D4918">
        <w:t xml:space="preserve"> </w:t>
      </w:r>
      <w:r w:rsidR="005D4DF3">
        <w:rPr>
          <w:lang w:val="en-AU"/>
        </w:rPr>
        <w:t>Parliamentary Joint Committee on Human Rights,</w:t>
      </w:r>
      <w:r w:rsidRPr="006D4918">
        <w:rPr>
          <w:lang w:val="en-AU"/>
        </w:rPr>
        <w:t xml:space="preserve"> </w:t>
      </w:r>
      <w:r w:rsidRPr="00A03154">
        <w:rPr>
          <w:i/>
          <w:lang w:val="en-AU"/>
        </w:rPr>
        <w:t>Thirty-second report of the 44</w:t>
      </w:r>
      <w:r w:rsidRPr="00A03154">
        <w:rPr>
          <w:i/>
          <w:vertAlign w:val="superscript"/>
          <w:lang w:val="en-AU"/>
        </w:rPr>
        <w:t>th</w:t>
      </w:r>
      <w:r w:rsidRPr="00A03154">
        <w:rPr>
          <w:i/>
          <w:lang w:val="en-AU"/>
        </w:rPr>
        <w:t xml:space="preserve"> Parliament</w:t>
      </w:r>
      <w:r w:rsidRPr="006D4918">
        <w:rPr>
          <w:lang w:val="en-AU"/>
        </w:rPr>
        <w:t xml:space="preserve">, </w:t>
      </w:r>
      <w:r w:rsidR="00613769" w:rsidRPr="006D4918">
        <w:rPr>
          <w:lang w:val="en-AU"/>
        </w:rPr>
        <w:t xml:space="preserve">2015, </w:t>
      </w:r>
      <w:r w:rsidRPr="006D4918">
        <w:rPr>
          <w:lang w:val="en-AU"/>
        </w:rPr>
        <w:t>pp 3-38.</w:t>
      </w:r>
    </w:p>
  </w:footnote>
  <w:footnote w:id="6">
    <w:p w:rsidR="00CD018A" w:rsidRPr="00A03154" w:rsidRDefault="00CD018A" w:rsidP="00583D8C">
      <w:pPr>
        <w:pStyle w:val="FootnoteText"/>
        <w:spacing w:after="0"/>
        <w:rPr>
          <w:lang w:val="en-AU"/>
        </w:rPr>
      </w:pPr>
      <w:r w:rsidRPr="00A03154">
        <w:rPr>
          <w:rStyle w:val="FootnoteReference"/>
        </w:rPr>
        <w:footnoteRef/>
      </w:r>
      <w:r w:rsidR="00651407" w:rsidRPr="006D4918">
        <w:t xml:space="preserve"> </w:t>
      </w:r>
      <w:proofErr w:type="gramStart"/>
      <w:r w:rsidR="00651407">
        <w:t>P</w:t>
      </w:r>
      <w:r w:rsidR="00CB47A2" w:rsidRPr="00A03154">
        <w:t xml:space="preserve">roposed section 104.28AA of the </w:t>
      </w:r>
      <w:r w:rsidRPr="00A03154">
        <w:rPr>
          <w:i/>
          <w:lang w:val="en-AU"/>
        </w:rPr>
        <w:t>Criminal Code</w:t>
      </w:r>
      <w:r w:rsidR="00651407">
        <w:rPr>
          <w:i/>
          <w:lang w:val="en-AU"/>
        </w:rPr>
        <w:t xml:space="preserve"> </w:t>
      </w:r>
      <w:r w:rsidR="00651407" w:rsidRPr="00A03154">
        <w:rPr>
          <w:lang w:val="en-AU"/>
        </w:rPr>
        <w:t>(see</w:t>
      </w:r>
      <w:r w:rsidR="00651407">
        <w:rPr>
          <w:i/>
          <w:lang w:val="en-AU"/>
        </w:rPr>
        <w:t xml:space="preserve"> </w:t>
      </w:r>
      <w:r w:rsidR="00651407" w:rsidRPr="0069542C">
        <w:t>Schedule 2 of the 2015 Bill</w:t>
      </w:r>
      <w:r w:rsidR="00651407">
        <w:t>)</w:t>
      </w:r>
      <w:r w:rsidRPr="00A03154">
        <w:rPr>
          <w:lang w:val="en-GB"/>
        </w:rPr>
        <w:t>.</w:t>
      </w:r>
      <w:proofErr w:type="gramEnd"/>
    </w:p>
  </w:footnote>
  <w:footnote w:id="7">
    <w:p w:rsidR="007621AA" w:rsidRPr="00A03154" w:rsidRDefault="000D4093" w:rsidP="00810941">
      <w:pPr>
        <w:pStyle w:val="FootnoteText"/>
        <w:spacing w:after="0" w:line="240" w:lineRule="auto"/>
        <w:rPr>
          <w:lang w:val="en-AU"/>
        </w:rPr>
      </w:pPr>
      <w:r w:rsidRPr="00A03154">
        <w:rPr>
          <w:rStyle w:val="FootnoteReference"/>
        </w:rPr>
        <w:footnoteRef/>
      </w:r>
      <w:r w:rsidRPr="00A03154">
        <w:t xml:space="preserve"> </w:t>
      </w:r>
      <w:r w:rsidR="0035077B">
        <w:rPr>
          <w:lang w:val="en-AU"/>
        </w:rPr>
        <w:t>See, for example, p</w:t>
      </w:r>
      <w:r w:rsidR="003669E5" w:rsidRPr="00A03154">
        <w:rPr>
          <w:lang w:val="en-AU"/>
        </w:rPr>
        <w:t>roposed</w:t>
      </w:r>
      <w:r w:rsidRPr="00A03154">
        <w:rPr>
          <w:lang w:val="en-AU"/>
        </w:rPr>
        <w:t xml:space="preserve"> </w:t>
      </w:r>
      <w:proofErr w:type="spellStart"/>
      <w:r w:rsidRPr="00A03154">
        <w:rPr>
          <w:lang w:val="en-AU"/>
        </w:rPr>
        <w:t>ss</w:t>
      </w:r>
      <w:proofErr w:type="spellEnd"/>
      <w:r w:rsidR="009C05E0">
        <w:rPr>
          <w:lang w:val="en-AU"/>
        </w:rPr>
        <w:t> </w:t>
      </w:r>
      <w:r w:rsidRPr="00A03154">
        <w:rPr>
          <w:lang w:val="en-AU"/>
        </w:rPr>
        <w:t>3ZZKA (1)(f); 3ZZKE (2)(d), 3ZZLA, 3ZZOA, and 3ZZOB</w:t>
      </w:r>
      <w:r w:rsidR="003669E5" w:rsidRPr="00A03154">
        <w:rPr>
          <w:lang w:val="en-AU"/>
        </w:rPr>
        <w:t xml:space="preserve"> of the Crimes Act</w:t>
      </w:r>
      <w:r w:rsidR="008D4A52">
        <w:rPr>
          <w:lang w:val="en-AU"/>
        </w:rPr>
        <w:t xml:space="preserve"> which concern police search powers in relation to </w:t>
      </w:r>
      <w:r w:rsidR="00240B5C">
        <w:rPr>
          <w:lang w:val="en-AU"/>
        </w:rPr>
        <w:t xml:space="preserve">control orders </w:t>
      </w:r>
      <w:r w:rsidR="00970795">
        <w:rPr>
          <w:lang w:val="en-AU"/>
        </w:rPr>
        <w:t>(</w:t>
      </w:r>
      <w:r w:rsidR="009C05E0">
        <w:rPr>
          <w:lang w:val="en-AU"/>
        </w:rPr>
        <w:t>see Schedule 8 of the 2015 Bill)</w:t>
      </w:r>
      <w:r w:rsidRPr="00A03154">
        <w:rPr>
          <w:lang w:val="en-AU"/>
        </w:rPr>
        <w:t>.</w:t>
      </w:r>
      <w:r w:rsidR="00B16860">
        <w:rPr>
          <w:lang w:val="en-AU"/>
        </w:rPr>
        <w:t xml:space="preserve"> There are related proposed legislative amendments </w:t>
      </w:r>
      <w:r w:rsidR="00681456">
        <w:rPr>
          <w:lang w:val="en-AU"/>
        </w:rPr>
        <w:t xml:space="preserve">in the 2015 Bill </w:t>
      </w:r>
      <w:r w:rsidR="00B16860">
        <w:rPr>
          <w:lang w:val="en-AU"/>
        </w:rPr>
        <w:t xml:space="preserve">concerning </w:t>
      </w:r>
      <w:r w:rsidR="0070529F">
        <w:rPr>
          <w:lang w:val="en-AU"/>
        </w:rPr>
        <w:t xml:space="preserve">the use of </w:t>
      </w:r>
      <w:r w:rsidR="00B16860">
        <w:rPr>
          <w:lang w:val="en-AU"/>
        </w:rPr>
        <w:t>tracking devices, telecommunications interception and surveillance devices.</w:t>
      </w:r>
    </w:p>
  </w:footnote>
  <w:footnote w:id="8">
    <w:p w:rsidR="007621AA" w:rsidRPr="00A03154" w:rsidRDefault="000D4093" w:rsidP="00810941">
      <w:pPr>
        <w:pStyle w:val="FootnoteText"/>
        <w:spacing w:after="0" w:line="240" w:lineRule="auto"/>
        <w:rPr>
          <w:lang w:val="en-AU"/>
        </w:rPr>
      </w:pPr>
      <w:r w:rsidRPr="00A03154">
        <w:rPr>
          <w:rStyle w:val="FootnoteReference"/>
        </w:rPr>
        <w:footnoteRef/>
      </w:r>
      <w:r w:rsidRPr="00A03154">
        <w:t xml:space="preserve"> </w:t>
      </w:r>
      <w:r w:rsidR="00D42145">
        <w:t>P</w:t>
      </w:r>
      <w:proofErr w:type="spellStart"/>
      <w:r w:rsidR="008D2F43" w:rsidRPr="00A03154">
        <w:rPr>
          <w:lang w:val="en-AU"/>
        </w:rPr>
        <w:t>roposed</w:t>
      </w:r>
      <w:proofErr w:type="spellEnd"/>
      <w:r w:rsidRPr="00A03154">
        <w:rPr>
          <w:lang w:val="en-AU"/>
        </w:rPr>
        <w:t xml:space="preserve"> s</w:t>
      </w:r>
      <w:r w:rsidR="00D42145">
        <w:rPr>
          <w:lang w:val="en-AU"/>
        </w:rPr>
        <w:t> </w:t>
      </w:r>
      <w:proofErr w:type="gramStart"/>
      <w:r w:rsidRPr="00A03154">
        <w:rPr>
          <w:lang w:val="en-AU"/>
        </w:rPr>
        <w:t>38J(</w:t>
      </w:r>
      <w:proofErr w:type="gramEnd"/>
      <w:r w:rsidRPr="00A03154">
        <w:rPr>
          <w:lang w:val="en-AU"/>
        </w:rPr>
        <w:t>4)</w:t>
      </w:r>
      <w:r w:rsidR="008D2F43" w:rsidRPr="00A03154">
        <w:rPr>
          <w:lang w:val="en-AU"/>
        </w:rPr>
        <w:t xml:space="preserve"> of the NSI Act</w:t>
      </w:r>
      <w:r w:rsidR="00D42145">
        <w:rPr>
          <w:lang w:val="en-AU"/>
        </w:rPr>
        <w:t xml:space="preserve"> (see Schedule 15 of the </w:t>
      </w:r>
      <w:r w:rsidR="00D42145" w:rsidRPr="0069542C">
        <w:t>2015 Bill</w:t>
      </w:r>
      <w:r w:rsidR="00D42145">
        <w:t>).</w:t>
      </w:r>
    </w:p>
  </w:footnote>
  <w:footnote w:id="9">
    <w:p w:rsidR="00843DB8" w:rsidRPr="00A03154" w:rsidRDefault="00843DB8" w:rsidP="00810941">
      <w:pPr>
        <w:pStyle w:val="FootnoteText"/>
        <w:spacing w:after="0" w:line="240" w:lineRule="auto"/>
        <w:rPr>
          <w:lang w:val="en-AU"/>
        </w:rPr>
      </w:pPr>
      <w:r w:rsidRPr="00A03154">
        <w:rPr>
          <w:rStyle w:val="FootnoteReference"/>
        </w:rPr>
        <w:footnoteRef/>
      </w:r>
      <w:r w:rsidRPr="00A03154">
        <w:t xml:space="preserve"> </w:t>
      </w:r>
      <w:r w:rsidR="00384B7E" w:rsidRPr="00A03154">
        <w:t xml:space="preserve">Oral submission to the INSLM </w:t>
      </w:r>
      <w:r w:rsidR="00756BE1" w:rsidRPr="00A03154">
        <w:t>Inquiry into Additional Safeguards into the Control Order Regime</w:t>
      </w:r>
      <w:r w:rsidR="00384B7E" w:rsidRPr="00A03154">
        <w:t>, Australian National University, Canberra, 16 December 201</w:t>
      </w:r>
      <w:r w:rsidR="00AE6E94" w:rsidRPr="00A03154">
        <w:t>5</w:t>
      </w:r>
      <w:r w:rsidR="00384B7E" w:rsidRPr="00A03154">
        <w:t xml:space="preserve">, pp 4 – 5, Assistant Commissioner </w:t>
      </w:r>
      <w:proofErr w:type="spellStart"/>
      <w:r w:rsidR="00384B7E" w:rsidRPr="00A03154">
        <w:t>Gaughan</w:t>
      </w:r>
      <w:proofErr w:type="spellEnd"/>
      <w:r w:rsidR="00384B7E" w:rsidRPr="00A03154">
        <w:t>, AFP.</w:t>
      </w:r>
    </w:p>
  </w:footnote>
  <w:footnote w:id="10">
    <w:p w:rsidR="00A266CF" w:rsidRPr="00A03154" w:rsidRDefault="00A266CF" w:rsidP="00A266CF">
      <w:pPr>
        <w:pStyle w:val="FootnoteText"/>
        <w:spacing w:after="0" w:line="240" w:lineRule="auto"/>
        <w:rPr>
          <w:lang w:val="en-AU"/>
        </w:rPr>
      </w:pPr>
      <w:r w:rsidRPr="00A03154">
        <w:rPr>
          <w:rStyle w:val="FootnoteReference"/>
        </w:rPr>
        <w:footnoteRef/>
      </w:r>
      <w:r w:rsidRPr="00A03154">
        <w:t xml:space="preserve"> Oral submission to the INSLM Inquiry into Additional Safeguards into the Control Order Regime, Australian National University, Canberra, 16 December 2015, p 12, </w:t>
      </w:r>
      <w:r w:rsidR="00F05EEA">
        <w:t>Attorney General’s</w:t>
      </w:r>
      <w:r w:rsidR="00FA2D4E">
        <w:t xml:space="preserve"> Department</w:t>
      </w:r>
      <w:r w:rsidR="00F05EEA">
        <w:t xml:space="preserve"> Official</w:t>
      </w:r>
      <w:r w:rsidR="00FA2D4E">
        <w:t>,</w:t>
      </w:r>
      <w:r w:rsidR="00F05EEA">
        <w:t xml:space="preserve"> </w:t>
      </w:r>
      <w:r w:rsidRPr="00A03154">
        <w:t>A</w:t>
      </w:r>
      <w:r w:rsidR="00FA2D4E">
        <w:t xml:space="preserve">ttorney </w:t>
      </w:r>
      <w:r w:rsidRPr="00A03154">
        <w:t>G</w:t>
      </w:r>
      <w:r w:rsidR="00FA2D4E">
        <w:t xml:space="preserve">eneral’s </w:t>
      </w:r>
      <w:r w:rsidRPr="00A03154">
        <w:t>D</w:t>
      </w:r>
      <w:r w:rsidR="00FA2D4E">
        <w:t>epartment</w:t>
      </w:r>
      <w:r w:rsidRPr="00A03154">
        <w:t>.</w:t>
      </w:r>
    </w:p>
  </w:footnote>
  <w:footnote w:id="11">
    <w:p w:rsidR="006A0DB4" w:rsidRPr="00A03154" w:rsidRDefault="006A0DB4" w:rsidP="00F35968">
      <w:pPr>
        <w:pStyle w:val="FootnoteText"/>
        <w:spacing w:after="0"/>
        <w:rPr>
          <w:lang w:val="en-AU"/>
        </w:rPr>
      </w:pPr>
      <w:r w:rsidRPr="00A03154">
        <w:rPr>
          <w:rStyle w:val="FootnoteReference"/>
        </w:rPr>
        <w:footnoteRef/>
      </w:r>
      <w:r w:rsidRPr="00A03154">
        <w:t xml:space="preserve"> </w:t>
      </w:r>
      <w:r w:rsidRPr="00A03154">
        <w:rPr>
          <w:lang w:val="en-AU"/>
        </w:rPr>
        <w:t xml:space="preserve">The use of ‘secret’ evidence in control order proceedings did not arise in </w:t>
      </w:r>
      <w:r w:rsidRPr="00A03154">
        <w:rPr>
          <w:i/>
          <w:lang w:val="en-AU"/>
        </w:rPr>
        <w:t>Thomas v Mowbray</w:t>
      </w:r>
      <w:r w:rsidRPr="00A03154">
        <w:rPr>
          <w:lang w:val="en-AU"/>
        </w:rPr>
        <w:t xml:space="preserve"> </w:t>
      </w:r>
      <w:r w:rsidR="007E1E3E" w:rsidRPr="00A03154">
        <w:rPr>
          <w:lang w:val="en-AU"/>
        </w:rPr>
        <w:t>(</w:t>
      </w:r>
      <w:r w:rsidRPr="00A03154">
        <w:rPr>
          <w:lang w:val="en-AU"/>
        </w:rPr>
        <w:t>2007</w:t>
      </w:r>
      <w:r w:rsidR="007E1E3E" w:rsidRPr="00A03154">
        <w:rPr>
          <w:lang w:val="en-AU"/>
        </w:rPr>
        <w:t>)</w:t>
      </w:r>
      <w:r w:rsidR="00F35968" w:rsidRPr="00A03154">
        <w:rPr>
          <w:lang w:val="en-AU"/>
        </w:rPr>
        <w:t xml:space="preserve"> 233</w:t>
      </w:r>
      <w:r w:rsidR="007E1E3E" w:rsidRPr="00A03154">
        <w:rPr>
          <w:lang w:val="en-AU"/>
        </w:rPr>
        <w:t xml:space="preserve"> </w:t>
      </w:r>
      <w:r w:rsidRPr="00A03154">
        <w:rPr>
          <w:lang w:val="en-AU"/>
        </w:rPr>
        <w:t xml:space="preserve">CLR 307 (see Gleeson CJ at [31] and </w:t>
      </w:r>
      <w:proofErr w:type="spellStart"/>
      <w:r w:rsidRPr="00A03154">
        <w:rPr>
          <w:lang w:val="en-AU"/>
        </w:rPr>
        <w:t>Gummo</w:t>
      </w:r>
      <w:r w:rsidR="00ED2CA9" w:rsidRPr="00A03154">
        <w:rPr>
          <w:lang w:val="en-AU"/>
        </w:rPr>
        <w:t>w</w:t>
      </w:r>
      <w:proofErr w:type="spellEnd"/>
      <w:r w:rsidRPr="00A03154">
        <w:rPr>
          <w:lang w:val="en-AU"/>
        </w:rPr>
        <w:t xml:space="preserve"> &amp; </w:t>
      </w:r>
      <w:proofErr w:type="spellStart"/>
      <w:r w:rsidRPr="00A03154">
        <w:rPr>
          <w:lang w:val="en-AU"/>
        </w:rPr>
        <w:t>Crennan</w:t>
      </w:r>
      <w:proofErr w:type="spellEnd"/>
      <w:r w:rsidRPr="00A03154">
        <w:rPr>
          <w:lang w:val="en-AU"/>
        </w:rPr>
        <w:t xml:space="preserve"> JJ at [125].</w:t>
      </w:r>
      <w:r w:rsidR="007A5F5E" w:rsidRPr="00A03154">
        <w:rPr>
          <w:lang w:val="en-AU"/>
        </w:rPr>
        <w:t xml:space="preserve"> </w:t>
      </w:r>
      <w:r w:rsidR="00A73FE8" w:rsidRPr="00A03154">
        <w:rPr>
          <w:lang w:val="en-AU"/>
        </w:rPr>
        <w:t xml:space="preserve">Kirby J (in dissent) discusses the issues including special advocates at [364]-[365] and [377]. </w:t>
      </w:r>
      <w:r w:rsidRPr="00A03154">
        <w:rPr>
          <w:lang w:val="en-AU"/>
        </w:rPr>
        <w:t>The issue has since arisen in a series of case</w:t>
      </w:r>
      <w:r w:rsidR="00A73FE8" w:rsidRPr="00A03154">
        <w:rPr>
          <w:lang w:val="en-AU"/>
        </w:rPr>
        <w:t>s</w:t>
      </w:r>
      <w:r w:rsidRPr="00A03154">
        <w:rPr>
          <w:lang w:val="en-AU"/>
        </w:rPr>
        <w:t xml:space="preserve"> in the High Court</w:t>
      </w:r>
      <w:r w:rsidR="00A73FE8" w:rsidRPr="00A03154">
        <w:rPr>
          <w:lang w:val="en-AU"/>
        </w:rPr>
        <w:t xml:space="preserve"> </w:t>
      </w:r>
      <w:r w:rsidRPr="00A03154">
        <w:rPr>
          <w:lang w:val="en-AU"/>
        </w:rPr>
        <w:t>dealing</w:t>
      </w:r>
      <w:r w:rsidR="00A73FE8" w:rsidRPr="00A03154">
        <w:rPr>
          <w:lang w:val="en-AU"/>
        </w:rPr>
        <w:t xml:space="preserve"> with criminal organisations culminating </w:t>
      </w:r>
      <w:r w:rsidR="007A5F5E" w:rsidRPr="00A03154">
        <w:rPr>
          <w:lang w:val="en-AU"/>
        </w:rPr>
        <w:t xml:space="preserve">in </w:t>
      </w:r>
      <w:r w:rsidR="00F35968" w:rsidRPr="00A03154">
        <w:rPr>
          <w:i/>
          <w:lang w:val="en-AU"/>
        </w:rPr>
        <w:t xml:space="preserve">Assistant Commissioner </w:t>
      </w:r>
      <w:r w:rsidR="00A73FE8" w:rsidRPr="00A03154">
        <w:rPr>
          <w:i/>
          <w:lang w:val="en-AU"/>
        </w:rPr>
        <w:t>Condon</w:t>
      </w:r>
      <w:r w:rsidR="007A5F5E" w:rsidRPr="00A03154">
        <w:rPr>
          <w:i/>
          <w:lang w:val="en-AU"/>
        </w:rPr>
        <w:t xml:space="preserve"> </w:t>
      </w:r>
      <w:r w:rsidR="00A73FE8" w:rsidRPr="00A03154">
        <w:rPr>
          <w:i/>
          <w:lang w:val="en-AU"/>
        </w:rPr>
        <w:t xml:space="preserve">v </w:t>
      </w:r>
      <w:r w:rsidR="00F35968" w:rsidRPr="00A03154">
        <w:rPr>
          <w:i/>
          <w:lang w:val="en-AU"/>
        </w:rPr>
        <w:t xml:space="preserve">Pompano </w:t>
      </w:r>
      <w:r w:rsidR="00A73FE8" w:rsidRPr="00A03154">
        <w:rPr>
          <w:i/>
          <w:lang w:val="en-AU"/>
        </w:rPr>
        <w:t>Pty Limited</w:t>
      </w:r>
      <w:r w:rsidR="00A73FE8" w:rsidRPr="00A03154">
        <w:rPr>
          <w:lang w:val="en-AU"/>
        </w:rPr>
        <w:t xml:space="preserve"> </w:t>
      </w:r>
      <w:r w:rsidR="007E1E3E" w:rsidRPr="00A03154">
        <w:rPr>
          <w:lang w:val="en-AU"/>
        </w:rPr>
        <w:t>(</w:t>
      </w:r>
      <w:r w:rsidR="00A73FE8" w:rsidRPr="00A03154">
        <w:rPr>
          <w:lang w:val="en-AU"/>
        </w:rPr>
        <w:t>2013</w:t>
      </w:r>
      <w:r w:rsidR="007E1E3E" w:rsidRPr="00A03154">
        <w:rPr>
          <w:lang w:val="en-AU"/>
        </w:rPr>
        <w:t>)</w:t>
      </w:r>
      <w:r w:rsidR="00A73FE8" w:rsidRPr="00A03154">
        <w:rPr>
          <w:lang w:val="en-AU"/>
        </w:rPr>
        <w:t xml:space="preserve"> 252 CLR</w:t>
      </w:r>
      <w:r w:rsidR="00D42145">
        <w:rPr>
          <w:lang w:val="en-AU"/>
        </w:rPr>
        <w:t> </w:t>
      </w:r>
      <w:r w:rsidR="00A73FE8" w:rsidRPr="00A03154">
        <w:rPr>
          <w:lang w:val="en-AU"/>
        </w:rPr>
        <w:t>38</w:t>
      </w:r>
      <w:r w:rsidR="007E1E3E" w:rsidRPr="00A03154">
        <w:rPr>
          <w:lang w:val="en-AU"/>
        </w:rPr>
        <w:t>, w</w:t>
      </w:r>
      <w:r w:rsidR="004D00B5" w:rsidRPr="00A03154">
        <w:rPr>
          <w:lang w:val="en-AU"/>
        </w:rPr>
        <w:t xml:space="preserve">here it was decided that there is no universal rule that a court cannot take into account evidence that is </w:t>
      </w:r>
      <w:r w:rsidR="007E1E3E" w:rsidRPr="00A03154">
        <w:rPr>
          <w:lang w:val="en-AU"/>
        </w:rPr>
        <w:t>withheld</w:t>
      </w:r>
      <w:r w:rsidR="004D00B5" w:rsidRPr="00A03154">
        <w:rPr>
          <w:lang w:val="en-AU"/>
        </w:rPr>
        <w:t xml:space="preserve"> from a party. For a discussion of this line of authority see Greg </w:t>
      </w:r>
      <w:r w:rsidR="007E1E3E" w:rsidRPr="00A03154">
        <w:rPr>
          <w:lang w:val="en-AU"/>
        </w:rPr>
        <w:t xml:space="preserve">Martin </w:t>
      </w:r>
      <w:r w:rsidR="004D00B5" w:rsidRPr="00A03154">
        <w:rPr>
          <w:lang w:val="en-AU"/>
        </w:rPr>
        <w:t>‘Outlaw of M</w:t>
      </w:r>
      <w:r w:rsidR="007E1E3E" w:rsidRPr="00A03154">
        <w:rPr>
          <w:lang w:val="en-AU"/>
        </w:rPr>
        <w:t>o</w:t>
      </w:r>
      <w:r w:rsidR="004D00B5" w:rsidRPr="00A03154">
        <w:rPr>
          <w:lang w:val="en-AU"/>
        </w:rPr>
        <w:t>torc</w:t>
      </w:r>
      <w:r w:rsidR="007E1E3E" w:rsidRPr="00A03154">
        <w:rPr>
          <w:lang w:val="en-AU"/>
        </w:rPr>
        <w:t>yc</w:t>
      </w:r>
      <w:r w:rsidR="004D00B5" w:rsidRPr="00A03154">
        <w:rPr>
          <w:lang w:val="en-AU"/>
        </w:rPr>
        <w:t xml:space="preserve">le Gangs and Secret Evidence: Reflections on the Use of Criminal Intelligence in the Control of Serious Organised Crime in </w:t>
      </w:r>
      <w:r w:rsidR="007E1E3E" w:rsidRPr="00A03154">
        <w:rPr>
          <w:lang w:val="en-AU"/>
        </w:rPr>
        <w:t>Australia’</w:t>
      </w:r>
      <w:r w:rsidR="007A5F5E" w:rsidRPr="00A03154">
        <w:rPr>
          <w:lang w:val="en-AU"/>
        </w:rPr>
        <w:t xml:space="preserve"> (2014)</w:t>
      </w:r>
      <w:r w:rsidR="007E1E3E" w:rsidRPr="00A03154">
        <w:rPr>
          <w:lang w:val="en-AU"/>
        </w:rPr>
        <w:t xml:space="preserve"> 36 (3)</w:t>
      </w:r>
      <w:r w:rsidR="004D00B5" w:rsidRPr="00A03154">
        <w:rPr>
          <w:lang w:val="en-AU"/>
        </w:rPr>
        <w:t xml:space="preserve"> </w:t>
      </w:r>
      <w:r w:rsidR="004D00B5" w:rsidRPr="00A03154">
        <w:rPr>
          <w:i/>
          <w:lang w:val="en-AU"/>
        </w:rPr>
        <w:t>Sydney Law Review</w:t>
      </w:r>
      <w:r w:rsidR="007A5F5E" w:rsidRPr="00A03154">
        <w:rPr>
          <w:lang w:val="en-AU"/>
        </w:rPr>
        <w:t xml:space="preserve"> </w:t>
      </w:r>
      <w:r w:rsidR="004D00B5" w:rsidRPr="00A03154">
        <w:rPr>
          <w:lang w:val="en-AU"/>
        </w:rPr>
        <w:t>501.</w:t>
      </w:r>
      <w:r w:rsidR="00A266CF" w:rsidRPr="00A03154">
        <w:rPr>
          <w:lang w:val="en-AU"/>
        </w:rPr>
        <w:t xml:space="preserve"> See also </w:t>
      </w:r>
      <w:r w:rsidR="00C332B1" w:rsidRPr="00A03154">
        <w:rPr>
          <w:lang w:val="en-AU"/>
        </w:rPr>
        <w:t xml:space="preserve">Andrew Lynch, Tamara </w:t>
      </w:r>
      <w:proofErr w:type="spellStart"/>
      <w:r w:rsidR="00C332B1" w:rsidRPr="00A03154">
        <w:rPr>
          <w:lang w:val="en-AU"/>
        </w:rPr>
        <w:t>Tulich</w:t>
      </w:r>
      <w:proofErr w:type="spellEnd"/>
      <w:r w:rsidR="00C332B1" w:rsidRPr="00A03154">
        <w:rPr>
          <w:lang w:val="en-AU"/>
        </w:rPr>
        <w:t xml:space="preserve"> and Rebecca Welsh, ‘Secrecy and Control Orders: the Role and Vulnerability of Constitutional Values in the United Kingdom and Australia’ in David Cole, Federico </w:t>
      </w:r>
      <w:proofErr w:type="spellStart"/>
      <w:r w:rsidR="00C332B1" w:rsidRPr="00A03154">
        <w:rPr>
          <w:lang w:val="en-AU"/>
        </w:rPr>
        <w:t>Fabbrini</w:t>
      </w:r>
      <w:proofErr w:type="spellEnd"/>
      <w:r w:rsidR="00C332B1" w:rsidRPr="00A03154">
        <w:rPr>
          <w:lang w:val="en-AU"/>
        </w:rPr>
        <w:t xml:space="preserve"> and Arianna </w:t>
      </w:r>
      <w:proofErr w:type="spellStart"/>
      <w:r w:rsidR="00C332B1" w:rsidRPr="00A03154">
        <w:rPr>
          <w:lang w:val="en-AU"/>
        </w:rPr>
        <w:t>Vedaschi</w:t>
      </w:r>
      <w:proofErr w:type="spellEnd"/>
      <w:r w:rsidR="00C332B1" w:rsidRPr="00A03154">
        <w:rPr>
          <w:lang w:val="en-AU"/>
        </w:rPr>
        <w:t xml:space="preserve"> (</w:t>
      </w:r>
      <w:proofErr w:type="spellStart"/>
      <w:proofErr w:type="gramStart"/>
      <w:r w:rsidR="00C332B1" w:rsidRPr="00A03154">
        <w:rPr>
          <w:lang w:val="en-AU"/>
        </w:rPr>
        <w:t>eds</w:t>
      </w:r>
      <w:proofErr w:type="spellEnd"/>
      <w:proofErr w:type="gramEnd"/>
      <w:r w:rsidR="00C332B1" w:rsidRPr="00A03154">
        <w:rPr>
          <w:lang w:val="en-AU"/>
        </w:rPr>
        <w:t xml:space="preserve">), </w:t>
      </w:r>
      <w:r w:rsidR="00C332B1" w:rsidRPr="00A03154">
        <w:rPr>
          <w:i/>
          <w:lang w:val="en-AU"/>
        </w:rPr>
        <w:t>Secrecy, National Security and the Vindication of Constitutional Law</w:t>
      </w:r>
      <w:r w:rsidR="00C332B1" w:rsidRPr="00A03154">
        <w:rPr>
          <w:lang w:val="en-AU"/>
        </w:rPr>
        <w:t xml:space="preserve"> (2013, Edward Elgar) 154.</w:t>
      </w:r>
    </w:p>
  </w:footnote>
  <w:footnote w:id="12">
    <w:p w:rsidR="004D00B5" w:rsidRPr="00A03154" w:rsidRDefault="004D00B5" w:rsidP="00F35968">
      <w:pPr>
        <w:pStyle w:val="FootnoteText"/>
        <w:spacing w:after="0"/>
        <w:rPr>
          <w:lang w:val="en-AU"/>
        </w:rPr>
      </w:pPr>
      <w:r w:rsidRPr="00A03154">
        <w:rPr>
          <w:rStyle w:val="FootnoteReference"/>
        </w:rPr>
        <w:footnoteRef/>
      </w:r>
      <w:r w:rsidRPr="00A03154">
        <w:t xml:space="preserve"> </w:t>
      </w:r>
      <w:r w:rsidRPr="00A03154">
        <w:rPr>
          <w:lang w:val="en-AU"/>
        </w:rPr>
        <w:t>See EM for 2015 Bill paragraphs [</w:t>
      </w:r>
      <w:r w:rsidR="00613769" w:rsidRPr="00A03154">
        <w:rPr>
          <w:lang w:val="en-AU"/>
        </w:rPr>
        <w:t>125</w:t>
      </w:r>
      <w:r w:rsidR="00D42145">
        <w:rPr>
          <w:lang w:val="en-AU"/>
        </w:rPr>
        <w:t>]</w:t>
      </w:r>
      <w:r w:rsidRPr="00A03154">
        <w:rPr>
          <w:lang w:val="en-AU"/>
        </w:rPr>
        <w:t>-</w:t>
      </w:r>
      <w:r w:rsidR="00D42145">
        <w:rPr>
          <w:lang w:val="en-AU"/>
        </w:rPr>
        <w:t>[</w:t>
      </w:r>
      <w:r w:rsidRPr="00A03154">
        <w:rPr>
          <w:lang w:val="en-AU"/>
        </w:rPr>
        <w:t>138]</w:t>
      </w:r>
      <w:r w:rsidR="00D42145">
        <w:rPr>
          <w:lang w:val="en-AU"/>
        </w:rPr>
        <w:t xml:space="preserve"> and Parliamentary Joint Committee on Human Rights,</w:t>
      </w:r>
      <w:r w:rsidR="00613769" w:rsidRPr="00A03154">
        <w:rPr>
          <w:lang w:val="en-AU"/>
        </w:rPr>
        <w:t xml:space="preserve"> </w:t>
      </w:r>
      <w:r w:rsidR="00613769" w:rsidRPr="00A03154">
        <w:rPr>
          <w:i/>
          <w:lang w:val="en-AU"/>
        </w:rPr>
        <w:t>Thirty-second report of the 44</w:t>
      </w:r>
      <w:r w:rsidR="00613769" w:rsidRPr="00A03154">
        <w:rPr>
          <w:i/>
          <w:vertAlign w:val="superscript"/>
          <w:lang w:val="en-AU"/>
        </w:rPr>
        <w:t>th</w:t>
      </w:r>
      <w:r w:rsidR="00613769" w:rsidRPr="00A03154">
        <w:rPr>
          <w:i/>
          <w:lang w:val="en-AU"/>
        </w:rPr>
        <w:t xml:space="preserve"> Parliament</w:t>
      </w:r>
      <w:r w:rsidR="00613769" w:rsidRPr="00A03154">
        <w:rPr>
          <w:lang w:val="en-AU"/>
        </w:rPr>
        <w:t>, 2015</w:t>
      </w:r>
      <w:r w:rsidR="00D42145">
        <w:rPr>
          <w:lang w:val="en-AU"/>
        </w:rPr>
        <w:t>, pp 3-38</w:t>
      </w:r>
      <w:r w:rsidR="00613769" w:rsidRPr="00A03154">
        <w:rPr>
          <w:lang w:val="en-AU"/>
        </w:rPr>
        <w:t>.</w:t>
      </w:r>
    </w:p>
    <w:p w:rsidR="004D00B5" w:rsidRPr="00A03154" w:rsidRDefault="004D00B5">
      <w:pPr>
        <w:pStyle w:val="FootnoteText"/>
        <w:rPr>
          <w:lang w:val="en-AU"/>
        </w:rPr>
      </w:pPr>
    </w:p>
  </w:footnote>
  <w:footnote w:id="13">
    <w:p w:rsidR="000F35FA" w:rsidRPr="00A03154" w:rsidRDefault="000F35FA" w:rsidP="00810941">
      <w:pPr>
        <w:pStyle w:val="FootnoteText"/>
        <w:spacing w:after="0" w:line="240" w:lineRule="auto"/>
        <w:rPr>
          <w:lang w:val="en-AU"/>
        </w:rPr>
      </w:pPr>
      <w:r w:rsidRPr="00A03154">
        <w:rPr>
          <w:rStyle w:val="FootnoteReference"/>
        </w:rPr>
        <w:footnoteRef/>
      </w:r>
      <w:r w:rsidRPr="00A03154">
        <w:t xml:space="preserve"> </w:t>
      </w:r>
      <w:proofErr w:type="gramStart"/>
      <w:r w:rsidRPr="00A03154">
        <w:rPr>
          <w:lang w:val="en-AU"/>
        </w:rPr>
        <w:t xml:space="preserve">Part 80 </w:t>
      </w:r>
      <w:r w:rsidR="008B2AEC" w:rsidRPr="00A03154">
        <w:rPr>
          <w:lang w:val="en-AU"/>
        </w:rPr>
        <w:t xml:space="preserve">of the </w:t>
      </w:r>
      <w:r w:rsidR="008B2AEC" w:rsidRPr="00A03154">
        <w:rPr>
          <w:i/>
          <w:lang w:val="en-AU"/>
        </w:rPr>
        <w:t>Civil Procedure Rules</w:t>
      </w:r>
      <w:r w:rsidR="008B2AEC" w:rsidRPr="00A03154">
        <w:rPr>
          <w:lang w:val="en-AU"/>
        </w:rPr>
        <w:t xml:space="preserve">, </w:t>
      </w:r>
      <w:r w:rsidRPr="00A03154">
        <w:rPr>
          <w:lang w:val="en-AU"/>
        </w:rPr>
        <w:t>Proceedings under the TPIM Act</w:t>
      </w:r>
      <w:r w:rsidR="0036484C" w:rsidRPr="00A03154">
        <w:rPr>
          <w:lang w:val="en-AU"/>
        </w:rPr>
        <w:t>.</w:t>
      </w:r>
      <w:proofErr w:type="gramEnd"/>
    </w:p>
  </w:footnote>
  <w:footnote w:id="14">
    <w:p w:rsidR="00990B7E" w:rsidRPr="00A03154" w:rsidRDefault="00990B7E" w:rsidP="00990B7E">
      <w:pPr>
        <w:pStyle w:val="FootnoteText"/>
        <w:spacing w:after="0" w:line="240" w:lineRule="auto"/>
        <w:rPr>
          <w:lang w:val="en-AU"/>
        </w:rPr>
      </w:pPr>
      <w:r w:rsidRPr="00A03154">
        <w:rPr>
          <w:rStyle w:val="FootnoteReference"/>
        </w:rPr>
        <w:footnoteRef/>
      </w:r>
      <w:r w:rsidRPr="00A03154">
        <w:t xml:space="preserve"> See for example the following: </w:t>
      </w:r>
      <w:r w:rsidR="007A5F5E" w:rsidRPr="00A03154">
        <w:t xml:space="preserve">Trent </w:t>
      </w:r>
      <w:r w:rsidRPr="00A03154">
        <w:t xml:space="preserve">Glover ‘Public Interest Immunity Claims in National Security Trials and the Role of Special Counsel’ (2009) 33 (6) </w:t>
      </w:r>
      <w:r w:rsidRPr="00A03154">
        <w:rPr>
          <w:i/>
        </w:rPr>
        <w:t>Criminal Law Journal</w:t>
      </w:r>
      <w:r w:rsidRPr="00A03154">
        <w:t xml:space="preserve"> 309; </w:t>
      </w:r>
      <w:r w:rsidR="007A5F5E" w:rsidRPr="00A03154">
        <w:t xml:space="preserve">Adam </w:t>
      </w:r>
      <w:r w:rsidRPr="00A03154">
        <w:t xml:space="preserve">Tomkins, ‘Justice and Security in the United Kingdom’ (2014) 47 (3) </w:t>
      </w:r>
      <w:r w:rsidRPr="00A03154">
        <w:rPr>
          <w:i/>
        </w:rPr>
        <w:t>Israel Law Review</w:t>
      </w:r>
      <w:r w:rsidRPr="00A03154">
        <w:t xml:space="preserve"> 305; </w:t>
      </w:r>
      <w:r w:rsidR="007A5F5E" w:rsidRPr="00A03154">
        <w:t xml:space="preserve">Tamara </w:t>
      </w:r>
      <w:proofErr w:type="spellStart"/>
      <w:r w:rsidRPr="00A03154">
        <w:t>Tulich</w:t>
      </w:r>
      <w:proofErr w:type="spellEnd"/>
      <w:r w:rsidRPr="00A03154">
        <w:t xml:space="preserve">, ‘Adversarial Intelligence? Control Orders, TPIMS and </w:t>
      </w:r>
      <w:r w:rsidR="00BA043D" w:rsidRPr="00A03154">
        <w:t>Secret Evidence</w:t>
      </w:r>
      <w:r w:rsidRPr="00A03154">
        <w:t xml:space="preserve"> in Australia and the United Kingdom’ (2012) 12 (2) </w:t>
      </w:r>
      <w:r w:rsidRPr="00A03154">
        <w:rPr>
          <w:i/>
        </w:rPr>
        <w:t>Oxford University Commonwealth Law Journal</w:t>
      </w:r>
      <w:r w:rsidRPr="00A03154">
        <w:t xml:space="preserve"> 341; </w:t>
      </w:r>
      <w:r w:rsidR="007A5F5E" w:rsidRPr="00A03154">
        <w:t xml:space="preserve">John </w:t>
      </w:r>
      <w:proofErr w:type="spellStart"/>
      <w:r w:rsidRPr="00A03154">
        <w:t>Ip</w:t>
      </w:r>
      <w:proofErr w:type="spellEnd"/>
      <w:r w:rsidRPr="00A03154">
        <w:t xml:space="preserve"> ‘The Rise and Spread of the Special Advocate’ (2008) Winter </w:t>
      </w:r>
      <w:r w:rsidRPr="00A03154">
        <w:rPr>
          <w:i/>
        </w:rPr>
        <w:t>Public Law Journal</w:t>
      </w:r>
      <w:r w:rsidRPr="00A03154">
        <w:t xml:space="preserve"> 717; </w:t>
      </w:r>
      <w:r w:rsidR="007A5F5E" w:rsidRPr="00A03154">
        <w:t xml:space="preserve">Aileen </w:t>
      </w:r>
      <w:r w:rsidRPr="00A03154">
        <w:t xml:space="preserve">Kavanagh ‘Special Advocates, Control Orders and the Right to a Fair Trial’ (2010) 73 (5) </w:t>
      </w:r>
      <w:r w:rsidRPr="00A03154">
        <w:rPr>
          <w:i/>
        </w:rPr>
        <w:t>The Modern Law Review</w:t>
      </w:r>
      <w:r w:rsidRPr="00A03154">
        <w:t xml:space="preserve"> 824</w:t>
      </w:r>
      <w:r w:rsidR="00C332B1" w:rsidRPr="00A03154">
        <w:t xml:space="preserve">; Nicholas Phillip ‘Closed Material’ </w:t>
      </w:r>
      <w:r w:rsidR="00C332B1" w:rsidRPr="00A03154">
        <w:rPr>
          <w:i/>
        </w:rPr>
        <w:t>London Review of Books</w:t>
      </w:r>
      <w:r w:rsidR="00C332B1" w:rsidRPr="00A03154">
        <w:t xml:space="preserve"> 17 April 2014</w:t>
      </w:r>
      <w:r w:rsidR="007A5F5E" w:rsidRPr="00A03154">
        <w:t>.</w:t>
      </w:r>
    </w:p>
  </w:footnote>
  <w:footnote w:id="15">
    <w:p w:rsidR="00A266CF" w:rsidRPr="00A03154" w:rsidRDefault="00A266CF" w:rsidP="00A266CF">
      <w:pPr>
        <w:pStyle w:val="FootnoteText"/>
        <w:spacing w:after="0"/>
        <w:rPr>
          <w:lang w:val="en-AU"/>
        </w:rPr>
      </w:pPr>
      <w:r w:rsidRPr="00A03154">
        <w:rPr>
          <w:rStyle w:val="FootnoteReference"/>
        </w:rPr>
        <w:footnoteRef/>
      </w:r>
      <w:r w:rsidRPr="00A03154">
        <w:t xml:space="preserve"> Special Advocates Memorandum on the Justice and Security Bill </w:t>
      </w:r>
      <w:r w:rsidR="007A5F5E" w:rsidRPr="00A03154">
        <w:t>s</w:t>
      </w:r>
      <w:r w:rsidRPr="00A03154">
        <w:t>ubmitted to the Jo</w:t>
      </w:r>
      <w:r w:rsidR="007A5F5E" w:rsidRPr="00A03154">
        <w:t xml:space="preserve">int Committee on Human Rights, </w:t>
      </w:r>
      <w:r w:rsidR="008F6734" w:rsidRPr="00A03154">
        <w:t>1</w:t>
      </w:r>
      <w:r w:rsidRPr="00A03154">
        <w:t xml:space="preserve">4 June 2012; United Kingdom Special Advocates, Response to Consultation From Special Advocates, </w:t>
      </w:r>
      <w:r w:rsidRPr="00A03154">
        <w:rPr>
          <w:i/>
        </w:rPr>
        <w:t>Justice and Security Green Paper</w:t>
      </w:r>
      <w:r w:rsidRPr="00A03154">
        <w:t>, 16 December 2011.</w:t>
      </w:r>
    </w:p>
  </w:footnote>
  <w:footnote w:id="16">
    <w:p w:rsidR="00461B5B" w:rsidRPr="00A03154" w:rsidRDefault="00461B5B" w:rsidP="00A266CF">
      <w:pPr>
        <w:pStyle w:val="FootnoteText"/>
        <w:spacing w:after="0" w:line="240" w:lineRule="auto"/>
        <w:rPr>
          <w:lang w:val="en-AU"/>
        </w:rPr>
      </w:pPr>
      <w:r w:rsidRPr="00A03154">
        <w:rPr>
          <w:rStyle w:val="FootnoteReference"/>
        </w:rPr>
        <w:footnoteRef/>
      </w:r>
      <w:r w:rsidRPr="00A03154">
        <w:t xml:space="preserve"> </w:t>
      </w:r>
      <w:r w:rsidR="007A5F5E" w:rsidRPr="00A03154">
        <w:rPr>
          <w:lang w:val="en-AU"/>
        </w:rPr>
        <w:t xml:space="preserve">David </w:t>
      </w:r>
      <w:r w:rsidRPr="00A03154">
        <w:rPr>
          <w:lang w:val="en-AU"/>
        </w:rPr>
        <w:t xml:space="preserve">Anderson </w:t>
      </w:r>
      <w:r w:rsidR="00FF213D">
        <w:rPr>
          <w:lang w:val="en-AU"/>
        </w:rPr>
        <w:t xml:space="preserve">QC </w:t>
      </w:r>
      <w:r w:rsidRPr="00A03154">
        <w:rPr>
          <w:lang w:val="en-AU"/>
        </w:rPr>
        <w:t xml:space="preserve">(Independent Reviewer of Terrorism Legislation), </w:t>
      </w:r>
      <w:r w:rsidRPr="00A03154">
        <w:rPr>
          <w:i/>
          <w:lang w:val="en-AU"/>
        </w:rPr>
        <w:t>Terrorism Prevention and Investigation Measures in 2012</w:t>
      </w:r>
      <w:r w:rsidRPr="00A03154">
        <w:rPr>
          <w:lang w:val="en-AU"/>
        </w:rPr>
        <w:t xml:space="preserve"> (2013), 9.31</w:t>
      </w:r>
      <w:r w:rsidR="00BD40D4">
        <w:rPr>
          <w:lang w:val="en-AU"/>
        </w:rPr>
        <w:t>; Mr Anderson has not recommended abolition of special advocates.</w:t>
      </w:r>
    </w:p>
  </w:footnote>
  <w:footnote w:id="17">
    <w:p w:rsidR="000D4093" w:rsidRPr="00A03154" w:rsidRDefault="000D4093" w:rsidP="00810941">
      <w:pPr>
        <w:pStyle w:val="FootnoteText"/>
        <w:spacing w:after="0" w:line="240" w:lineRule="auto"/>
        <w:rPr>
          <w:lang w:val="en-AU"/>
        </w:rPr>
      </w:pPr>
      <w:r w:rsidRPr="00A03154">
        <w:rPr>
          <w:rStyle w:val="FootnoteReference"/>
        </w:rPr>
        <w:footnoteRef/>
      </w:r>
      <w:r w:rsidRPr="00A03154">
        <w:t xml:space="preserve"> </w:t>
      </w:r>
      <w:r w:rsidRPr="00A03154">
        <w:rPr>
          <w:i/>
        </w:rPr>
        <w:t xml:space="preserve">Regina v Faheem Khalid </w:t>
      </w:r>
      <w:proofErr w:type="spellStart"/>
      <w:r w:rsidRPr="00A03154">
        <w:rPr>
          <w:i/>
        </w:rPr>
        <w:t>Lodhi</w:t>
      </w:r>
      <w:proofErr w:type="spellEnd"/>
      <w:r w:rsidRPr="00A03154">
        <w:t xml:space="preserve"> [2006] NSWSC </w:t>
      </w:r>
      <w:r w:rsidR="00CC0A37" w:rsidRPr="00A03154">
        <w:t>586</w:t>
      </w:r>
      <w:r w:rsidR="00C03F45" w:rsidRPr="00A03154">
        <w:t xml:space="preserve">; </w:t>
      </w:r>
      <w:r w:rsidR="00C03F45" w:rsidRPr="00A03154">
        <w:rPr>
          <w:i/>
        </w:rPr>
        <w:t>State of New South Wales v Public Transport Ticketing Corporation (No 3)</w:t>
      </w:r>
      <w:r w:rsidR="00CC0A37" w:rsidRPr="00A03154">
        <w:t xml:space="preserve"> [2011] NSWCA 200. </w:t>
      </w:r>
      <w:r w:rsidR="00AA4FD1" w:rsidRPr="00A03154">
        <w:t xml:space="preserve">See also </w:t>
      </w:r>
      <w:r w:rsidR="00AA4FD1" w:rsidRPr="00A03154">
        <w:rPr>
          <w:i/>
        </w:rPr>
        <w:t xml:space="preserve">Regina v </w:t>
      </w:r>
      <w:proofErr w:type="spellStart"/>
      <w:r w:rsidR="00AA4FD1" w:rsidRPr="00A03154">
        <w:rPr>
          <w:i/>
        </w:rPr>
        <w:t>Khazaal</w:t>
      </w:r>
      <w:proofErr w:type="spellEnd"/>
      <w:r w:rsidR="00AA4FD1" w:rsidRPr="00A03154">
        <w:t xml:space="preserve"> [2006] NSWSC 1061; </w:t>
      </w:r>
      <w:r w:rsidR="00AA4FD1" w:rsidRPr="00A03154">
        <w:rPr>
          <w:i/>
        </w:rPr>
        <w:t>P Dawson Nominees Pty Limited v ASIC</w:t>
      </w:r>
      <w:r w:rsidR="00AA4FD1" w:rsidRPr="00A03154">
        <w:t xml:space="preserve"> </w:t>
      </w:r>
      <w:r w:rsidR="00AA4FD1" w:rsidRPr="00A03154">
        <w:rPr>
          <w:i/>
        </w:rPr>
        <w:t>(No</w:t>
      </w:r>
      <w:r w:rsidR="00CC0A37" w:rsidRPr="00A03154">
        <w:rPr>
          <w:i/>
        </w:rPr>
        <w:t xml:space="preserve"> </w:t>
      </w:r>
      <w:r w:rsidR="00AA4FD1" w:rsidRPr="00A03154">
        <w:rPr>
          <w:i/>
        </w:rPr>
        <w:t>2)</w:t>
      </w:r>
      <w:r w:rsidR="00AA4FD1" w:rsidRPr="00A03154">
        <w:t xml:space="preserve"> </w:t>
      </w:r>
      <w:r w:rsidR="00CC0A37" w:rsidRPr="00A03154">
        <w:t>[</w:t>
      </w:r>
      <w:r w:rsidR="00AA4FD1" w:rsidRPr="00A03154">
        <w:t>2009</w:t>
      </w:r>
      <w:r w:rsidR="00CC0A37" w:rsidRPr="00A03154">
        <w:t>]</w:t>
      </w:r>
      <w:r w:rsidR="00AA4FD1" w:rsidRPr="00A03154">
        <w:t xml:space="preserve"> FCA 413 at [26]; </w:t>
      </w:r>
      <w:r w:rsidR="00CC0A37" w:rsidRPr="00A03154">
        <w:rPr>
          <w:i/>
        </w:rPr>
        <w:t>AVS Group of Companies Pty Ltd</w:t>
      </w:r>
      <w:r w:rsidR="00AA4FD1" w:rsidRPr="00A03154">
        <w:rPr>
          <w:i/>
        </w:rPr>
        <w:t xml:space="preserve"> v Commissioner of Police</w:t>
      </w:r>
      <w:r w:rsidR="00AA4FD1" w:rsidRPr="00A03154">
        <w:t xml:space="preserve"> [2010] NSWSC 109.</w:t>
      </w:r>
    </w:p>
  </w:footnote>
  <w:footnote w:id="18">
    <w:p w:rsidR="00396DD6" w:rsidRPr="00A03154" w:rsidRDefault="00396DD6" w:rsidP="00396DD6">
      <w:pPr>
        <w:pStyle w:val="FootnoteText"/>
        <w:spacing w:after="0" w:line="240" w:lineRule="auto"/>
        <w:rPr>
          <w:lang w:val="en-AU"/>
        </w:rPr>
      </w:pPr>
      <w:r w:rsidRPr="00A03154">
        <w:rPr>
          <w:rStyle w:val="FootnoteReference"/>
        </w:rPr>
        <w:footnoteRef/>
      </w:r>
      <w:r w:rsidRPr="00A03154">
        <w:t xml:space="preserve"> The QLD Public Interest Monitor is governed by the </w:t>
      </w:r>
      <w:r w:rsidRPr="00A03154">
        <w:rPr>
          <w:i/>
          <w:iCs/>
        </w:rPr>
        <w:t>Police Powers and</w:t>
      </w:r>
      <w:r w:rsidRPr="00A03154">
        <w:t xml:space="preserve"> </w:t>
      </w:r>
      <w:r w:rsidRPr="00A03154">
        <w:rPr>
          <w:i/>
        </w:rPr>
        <w:t>Responsibilities</w:t>
      </w:r>
      <w:r w:rsidRPr="00A03154">
        <w:rPr>
          <w:i/>
          <w:iCs/>
        </w:rPr>
        <w:t xml:space="preserve"> Act 2000 </w:t>
      </w:r>
      <w:r w:rsidRPr="00A03154">
        <w:t>(</w:t>
      </w:r>
      <w:proofErr w:type="spellStart"/>
      <w:r w:rsidRPr="00A03154">
        <w:t>Qld</w:t>
      </w:r>
      <w:proofErr w:type="spellEnd"/>
      <w:r w:rsidRPr="00A03154">
        <w:t xml:space="preserve">), </w:t>
      </w:r>
      <w:r w:rsidRPr="00A03154">
        <w:rPr>
          <w:i/>
          <w:iCs/>
        </w:rPr>
        <w:t xml:space="preserve">Crime and Corruption Act 2001 </w:t>
      </w:r>
      <w:r w:rsidRPr="00A03154">
        <w:t>(</w:t>
      </w:r>
      <w:proofErr w:type="spellStart"/>
      <w:r w:rsidRPr="00A03154">
        <w:t>Qld</w:t>
      </w:r>
      <w:proofErr w:type="spellEnd"/>
      <w:r w:rsidRPr="00A03154">
        <w:t xml:space="preserve">) and </w:t>
      </w:r>
      <w:r w:rsidRPr="00A03154">
        <w:rPr>
          <w:i/>
          <w:iCs/>
        </w:rPr>
        <w:t xml:space="preserve">Telecommunications Interception Act 2009 </w:t>
      </w:r>
      <w:r w:rsidR="00CC0A37" w:rsidRPr="00A03154">
        <w:t>(</w:t>
      </w:r>
      <w:proofErr w:type="spellStart"/>
      <w:r w:rsidR="00CC0A37" w:rsidRPr="00A03154">
        <w:t>Qld</w:t>
      </w:r>
      <w:proofErr w:type="spellEnd"/>
      <w:r w:rsidRPr="00A03154">
        <w:t xml:space="preserve">). The Victorian Public Interest Monitor is governed by the </w:t>
      </w:r>
      <w:r w:rsidRPr="00A03154">
        <w:rPr>
          <w:i/>
          <w:iCs/>
        </w:rPr>
        <w:t xml:space="preserve">Public Interest Monitor Act 2011 </w:t>
      </w:r>
      <w:r w:rsidRPr="00A03154">
        <w:t xml:space="preserve">(Vic). An ACT Public Interest Monitor is provided for by the </w:t>
      </w:r>
      <w:r w:rsidRPr="00A03154">
        <w:rPr>
          <w:i/>
        </w:rPr>
        <w:t>Terrorism (Extraordinary Temporary Powers) Act 2006</w:t>
      </w:r>
      <w:r w:rsidRPr="00A03154">
        <w:t xml:space="preserve"> (ACT) but no appointment has been made. An explanation of the various monitors can be found in the Attorney General’s Department (AGD) supplementary submission to the PJCIS (January 2016).</w:t>
      </w:r>
    </w:p>
  </w:footnote>
  <w:footnote w:id="19">
    <w:p w:rsidR="00396DD6" w:rsidRPr="00A03154" w:rsidRDefault="00396DD6" w:rsidP="007A5F5E">
      <w:pPr>
        <w:pStyle w:val="FootnoteText"/>
        <w:spacing w:after="0"/>
        <w:rPr>
          <w:lang w:val="en-AU"/>
        </w:rPr>
      </w:pPr>
      <w:r w:rsidRPr="00A03154">
        <w:rPr>
          <w:rStyle w:val="FootnoteReference"/>
        </w:rPr>
        <w:footnoteRef/>
      </w:r>
      <w:r w:rsidRPr="00A03154">
        <w:t xml:space="preserve"> </w:t>
      </w:r>
      <w:proofErr w:type="gramStart"/>
      <w:r w:rsidRPr="00A03154">
        <w:rPr>
          <w:lang w:val="en-AU"/>
        </w:rPr>
        <w:t xml:space="preserve">Under the </w:t>
      </w:r>
      <w:r w:rsidRPr="00A03154">
        <w:rPr>
          <w:i/>
          <w:lang w:val="en-AU"/>
        </w:rPr>
        <w:t>C</w:t>
      </w:r>
      <w:r w:rsidR="007A5F5E" w:rsidRPr="00A03154">
        <w:rPr>
          <w:i/>
          <w:lang w:val="en-AU"/>
        </w:rPr>
        <w:t xml:space="preserve">riminal Organisation Act 2009 </w:t>
      </w:r>
      <w:r w:rsidR="007A5F5E" w:rsidRPr="00A03154">
        <w:rPr>
          <w:lang w:val="en-AU"/>
        </w:rPr>
        <w:t>(Qld</w:t>
      </w:r>
      <w:r w:rsidRPr="00A03154">
        <w:rPr>
          <w:lang w:val="en-AU"/>
        </w:rPr>
        <w:t>).</w:t>
      </w:r>
      <w:proofErr w:type="gramEnd"/>
    </w:p>
  </w:footnote>
  <w:footnote w:id="20">
    <w:p w:rsidR="00396DD6" w:rsidRPr="00A03154" w:rsidRDefault="00396DD6" w:rsidP="007A5F5E">
      <w:pPr>
        <w:pStyle w:val="FootnoteText"/>
        <w:spacing w:after="0"/>
        <w:rPr>
          <w:lang w:val="en-AU"/>
        </w:rPr>
      </w:pPr>
      <w:r w:rsidRPr="00A03154">
        <w:rPr>
          <w:rStyle w:val="FootnoteReference"/>
        </w:rPr>
        <w:footnoteRef/>
      </w:r>
      <w:r w:rsidRPr="00A03154">
        <w:t xml:space="preserve"> </w:t>
      </w:r>
      <w:proofErr w:type="gramStart"/>
      <w:r w:rsidRPr="00A03154">
        <w:t xml:space="preserve">Under the </w:t>
      </w:r>
      <w:r w:rsidRPr="00A03154">
        <w:rPr>
          <w:i/>
          <w:iCs/>
        </w:rPr>
        <w:t xml:space="preserve">Crimes (Criminal </w:t>
      </w:r>
      <w:proofErr w:type="spellStart"/>
      <w:r w:rsidRPr="00A03154">
        <w:rPr>
          <w:i/>
          <w:iCs/>
        </w:rPr>
        <w:t>Organisations</w:t>
      </w:r>
      <w:proofErr w:type="spellEnd"/>
      <w:r w:rsidRPr="00A03154">
        <w:rPr>
          <w:i/>
          <w:iCs/>
        </w:rPr>
        <w:t xml:space="preserve"> Control) Act 2012 </w:t>
      </w:r>
      <w:r w:rsidRPr="00A03154">
        <w:t>(NSW).</w:t>
      </w:r>
      <w:proofErr w:type="gramEnd"/>
    </w:p>
  </w:footnote>
  <w:footnote w:id="21">
    <w:p w:rsidR="00764E8D" w:rsidRPr="00A03154" w:rsidRDefault="00764E8D" w:rsidP="001958BB">
      <w:pPr>
        <w:pStyle w:val="FootnoteText"/>
        <w:spacing w:after="0" w:line="240" w:lineRule="auto"/>
        <w:rPr>
          <w:lang w:val="en-AU"/>
        </w:rPr>
      </w:pPr>
      <w:r>
        <w:rPr>
          <w:rStyle w:val="FootnoteReference"/>
        </w:rPr>
        <w:footnoteRef/>
      </w:r>
      <w:r>
        <w:t xml:space="preserve"> </w:t>
      </w:r>
      <w:proofErr w:type="gramStart"/>
      <w:r w:rsidR="00A03154" w:rsidRPr="00A03154">
        <w:rPr>
          <w:i/>
        </w:rPr>
        <w:t>Criminal Code</w:t>
      </w:r>
      <w:r w:rsidR="00A03154">
        <w:t xml:space="preserve"> s 104.12.</w:t>
      </w:r>
      <w:proofErr w:type="gramEnd"/>
    </w:p>
  </w:footnote>
  <w:footnote w:id="22">
    <w:p w:rsidR="00764E8D" w:rsidRPr="00A03154" w:rsidRDefault="00764E8D" w:rsidP="001958BB">
      <w:pPr>
        <w:pStyle w:val="FootnoteText"/>
        <w:spacing w:after="0" w:line="240" w:lineRule="auto"/>
        <w:rPr>
          <w:lang w:val="en-AU"/>
        </w:rPr>
      </w:pPr>
      <w:r>
        <w:rPr>
          <w:rStyle w:val="FootnoteReference"/>
        </w:rPr>
        <w:footnoteRef/>
      </w:r>
      <w:r>
        <w:t xml:space="preserve"> </w:t>
      </w:r>
      <w:proofErr w:type="gramStart"/>
      <w:r w:rsidR="00A03154" w:rsidRPr="00401903">
        <w:rPr>
          <w:i/>
        </w:rPr>
        <w:t>Criminal Code</w:t>
      </w:r>
      <w:r w:rsidR="00A03154">
        <w:t xml:space="preserve"> s 104.12A.</w:t>
      </w:r>
      <w:proofErr w:type="gramEnd"/>
    </w:p>
  </w:footnote>
  <w:footnote w:id="23">
    <w:p w:rsidR="00A03154" w:rsidRPr="00A03154" w:rsidRDefault="00A03154" w:rsidP="001958BB">
      <w:pPr>
        <w:pStyle w:val="FootnoteText"/>
        <w:spacing w:after="0" w:line="240" w:lineRule="auto"/>
        <w:rPr>
          <w:lang w:val="en-AU"/>
        </w:rPr>
      </w:pPr>
      <w:r>
        <w:rPr>
          <w:rStyle w:val="FootnoteReference"/>
        </w:rPr>
        <w:footnoteRef/>
      </w:r>
      <w:r>
        <w:t xml:space="preserve"> </w:t>
      </w:r>
      <w:proofErr w:type="gramStart"/>
      <w:r>
        <w:t>Criminal Code s 104.18 and 104.19.</w:t>
      </w:r>
      <w:proofErr w:type="gramEnd"/>
    </w:p>
  </w:footnote>
  <w:footnote w:id="24">
    <w:p w:rsidR="00A03154" w:rsidRPr="00401903" w:rsidRDefault="00A03154" w:rsidP="001958BB">
      <w:pPr>
        <w:pStyle w:val="FootnoteText"/>
        <w:spacing w:after="0" w:line="240" w:lineRule="auto"/>
        <w:rPr>
          <w:lang w:val="en-AU"/>
        </w:rPr>
      </w:pPr>
      <w:r>
        <w:rPr>
          <w:rStyle w:val="FootnoteReference"/>
        </w:rPr>
        <w:footnoteRef/>
      </w:r>
      <w:r>
        <w:t xml:space="preserve"> </w:t>
      </w:r>
      <w:proofErr w:type="gramStart"/>
      <w:r w:rsidRPr="00401903">
        <w:rPr>
          <w:i/>
        </w:rPr>
        <w:t>Criminal Code</w:t>
      </w:r>
      <w:r>
        <w:t xml:space="preserve"> s 104.14</w:t>
      </w:r>
      <w:r w:rsidR="001070DF">
        <w:t>, 104.19 and 104.23</w:t>
      </w:r>
      <w:r>
        <w:t>.</w:t>
      </w:r>
      <w:proofErr w:type="gramEnd"/>
    </w:p>
  </w:footnote>
  <w:footnote w:id="25">
    <w:p w:rsidR="00883CCB" w:rsidRPr="00883CCB" w:rsidRDefault="00883CCB">
      <w:pPr>
        <w:pStyle w:val="FootnoteText"/>
        <w:rPr>
          <w:lang w:val="en-AU"/>
        </w:rPr>
      </w:pPr>
      <w:r>
        <w:rPr>
          <w:rStyle w:val="FootnoteReference"/>
        </w:rPr>
        <w:footnoteRef/>
      </w:r>
      <w:r>
        <w:t xml:space="preserve"> </w:t>
      </w:r>
      <w:proofErr w:type="gramStart"/>
      <w:r>
        <w:t>Attorney General’s Department Supple</w:t>
      </w:r>
      <w:r w:rsidR="00F73263">
        <w:t xml:space="preserve">mentary Submission to the PJCIS, </w:t>
      </w:r>
      <w:r w:rsidRPr="00F73263">
        <w:rPr>
          <w:i/>
        </w:rPr>
        <w:t>Inquiry into the Counter</w:t>
      </w:r>
      <w:r w:rsidR="00F73263" w:rsidRPr="00F73263">
        <w:rPr>
          <w:i/>
        </w:rPr>
        <w:t>-Terrorism Legislation Amendment Bill (No 1) 2015</w:t>
      </w:r>
      <w:r w:rsidR="00F73263">
        <w:t>, January 2016, p 36, Schedule 15.</w:t>
      </w:r>
      <w:proofErr w:type="gramEnd"/>
      <w:r w:rsidR="00F73263">
        <w:t xml:space="preserve"> </w:t>
      </w:r>
    </w:p>
  </w:footnote>
  <w:footnote w:id="26">
    <w:p w:rsidR="00547536" w:rsidRPr="00401903" w:rsidRDefault="00547536" w:rsidP="001958BB">
      <w:pPr>
        <w:pStyle w:val="FootnoteText"/>
        <w:spacing w:after="0" w:line="240" w:lineRule="auto"/>
        <w:rPr>
          <w:lang w:val="en-AU"/>
        </w:rPr>
      </w:pPr>
      <w:r>
        <w:rPr>
          <w:rStyle w:val="FootnoteReference"/>
        </w:rPr>
        <w:footnoteRef/>
      </w:r>
      <w:r>
        <w:t xml:space="preserve"> </w:t>
      </w:r>
      <w:proofErr w:type="gramStart"/>
      <w:r w:rsidRPr="0069542C">
        <w:rPr>
          <w:lang w:val="en-AU"/>
        </w:rPr>
        <w:t xml:space="preserve">Independent National Security Legislation Monitor, </w:t>
      </w:r>
      <w:r w:rsidRPr="0069542C">
        <w:rPr>
          <w:i/>
          <w:lang w:val="en-AU"/>
        </w:rPr>
        <w:t>Annual Repor</w:t>
      </w:r>
      <w:r>
        <w:rPr>
          <w:i/>
          <w:lang w:val="en-AU"/>
        </w:rPr>
        <w:t>t</w:t>
      </w:r>
      <w:r w:rsidRPr="0069542C">
        <w:rPr>
          <w:i/>
          <w:lang w:val="en-AU"/>
        </w:rPr>
        <w:t xml:space="preserve"> 7</w:t>
      </w:r>
      <w:r w:rsidRPr="0069542C">
        <w:rPr>
          <w:i/>
          <w:vertAlign w:val="superscript"/>
          <w:lang w:val="en-AU"/>
        </w:rPr>
        <w:t>th</w:t>
      </w:r>
      <w:r w:rsidRPr="0069542C">
        <w:rPr>
          <w:i/>
          <w:lang w:val="en-AU"/>
        </w:rPr>
        <w:t xml:space="preserve"> November 2013</w:t>
      </w:r>
      <w:r>
        <w:rPr>
          <w:lang w:val="en-AU"/>
        </w:rPr>
        <w:t>,</w:t>
      </w:r>
      <w:r w:rsidRPr="0069542C">
        <w:rPr>
          <w:lang w:val="en-AU"/>
        </w:rPr>
        <w:t xml:space="preserve"> </w:t>
      </w:r>
      <w:proofErr w:type="spellStart"/>
      <w:r w:rsidRPr="0069542C">
        <w:rPr>
          <w:lang w:val="en-AU"/>
        </w:rPr>
        <w:t>Ch</w:t>
      </w:r>
      <w:proofErr w:type="spellEnd"/>
      <w:r w:rsidRPr="0069542C">
        <w:rPr>
          <w:lang w:val="en-AU"/>
        </w:rPr>
        <w:t xml:space="preserve"> VII.13, p 152.</w:t>
      </w:r>
      <w:proofErr w:type="gramEnd"/>
    </w:p>
  </w:footnote>
  <w:footnote w:id="27">
    <w:p w:rsidR="00BD40D4" w:rsidRPr="00A03154" w:rsidRDefault="00BD40D4" w:rsidP="00BD40D4">
      <w:pPr>
        <w:pStyle w:val="FootnoteText"/>
        <w:spacing w:after="0" w:line="240" w:lineRule="auto"/>
        <w:rPr>
          <w:lang w:val="en-AU"/>
        </w:rPr>
      </w:pPr>
      <w:r w:rsidRPr="00A03154">
        <w:rPr>
          <w:rStyle w:val="FootnoteReference"/>
        </w:rPr>
        <w:footnoteRef/>
      </w:r>
      <w:r w:rsidRPr="00A03154">
        <w:t xml:space="preserve"> New Zealand Law Commission, </w:t>
      </w:r>
      <w:r w:rsidRPr="00363D46">
        <w:rPr>
          <w:i/>
        </w:rPr>
        <w:t>Report 135</w:t>
      </w:r>
      <w:r>
        <w:t xml:space="preserve"> </w:t>
      </w:r>
      <w:proofErr w:type="gramStart"/>
      <w:r w:rsidRPr="00A03154">
        <w:rPr>
          <w:i/>
        </w:rPr>
        <w:t>The</w:t>
      </w:r>
      <w:proofErr w:type="gramEnd"/>
      <w:r w:rsidRPr="00A03154">
        <w:rPr>
          <w:i/>
        </w:rPr>
        <w:t xml:space="preserve"> Crown in Court</w:t>
      </w:r>
      <w:r w:rsidRPr="00A03154">
        <w:t xml:space="preserve">, </w:t>
      </w:r>
      <w:r>
        <w:t>December</w:t>
      </w:r>
      <w:r w:rsidRPr="00A03154">
        <w:t xml:space="preserve"> 2015, pp 111 – 112, Recommendations 30-39.</w:t>
      </w:r>
    </w:p>
  </w:footnote>
  <w:footnote w:id="28">
    <w:p w:rsidR="00D262BF" w:rsidRPr="00401903" w:rsidRDefault="00D262BF" w:rsidP="001958BB">
      <w:pPr>
        <w:pStyle w:val="FootnoteText"/>
        <w:spacing w:after="0" w:line="240" w:lineRule="auto"/>
        <w:rPr>
          <w:lang w:val="en-AU"/>
        </w:rPr>
      </w:pPr>
      <w:r>
        <w:rPr>
          <w:rStyle w:val="FootnoteReference"/>
        </w:rPr>
        <w:footnoteRef/>
      </w:r>
      <w:r>
        <w:t xml:space="preserve"> </w:t>
      </w:r>
      <w:r w:rsidRPr="0069542C">
        <w:t xml:space="preserve">In </w:t>
      </w:r>
      <w:r w:rsidRPr="0069542C">
        <w:rPr>
          <w:i/>
        </w:rPr>
        <w:t>Assistant Commissioner Condon v Pompano Pty Ltd</w:t>
      </w:r>
      <w:r w:rsidRPr="0069542C">
        <w:t xml:space="preserve"> (2013) 252 CLR 38 </w:t>
      </w:r>
      <w:r w:rsidRPr="0069542C">
        <w:rPr>
          <w:lang w:val="en-AU"/>
        </w:rPr>
        <w:t xml:space="preserve">the role of the of the Criminal Organisation Public Interest Monitor was noted and contrasted with the role of the special advocate of representing the controlee in the United Kingdom cases (Hayne, </w:t>
      </w:r>
      <w:proofErr w:type="spellStart"/>
      <w:r w:rsidRPr="0069542C">
        <w:rPr>
          <w:lang w:val="en-AU"/>
        </w:rPr>
        <w:t>Crennan</w:t>
      </w:r>
      <w:proofErr w:type="spellEnd"/>
      <w:r w:rsidRPr="0069542C">
        <w:rPr>
          <w:lang w:val="en-AU"/>
        </w:rPr>
        <w:t xml:space="preserve">, </w:t>
      </w:r>
      <w:proofErr w:type="spellStart"/>
      <w:r w:rsidRPr="0069542C">
        <w:rPr>
          <w:lang w:val="en-AU"/>
        </w:rPr>
        <w:t>Kiefel</w:t>
      </w:r>
      <w:proofErr w:type="spellEnd"/>
      <w:r w:rsidRPr="0069542C">
        <w:rPr>
          <w:lang w:val="en-AU"/>
        </w:rPr>
        <w:t xml:space="preserve"> and Bell JJ at [112], French CJ at 655[54], 662[77] and </w:t>
      </w:r>
      <w:proofErr w:type="spellStart"/>
      <w:r w:rsidRPr="0069542C">
        <w:rPr>
          <w:lang w:val="en-AU"/>
        </w:rPr>
        <w:t>Gageler</w:t>
      </w:r>
      <w:proofErr w:type="spellEnd"/>
      <w:r w:rsidRPr="0069542C">
        <w:rPr>
          <w:lang w:val="en-AU"/>
        </w:rPr>
        <w:t> J at 693[208].</w:t>
      </w:r>
    </w:p>
  </w:footnote>
  <w:footnote w:id="29">
    <w:p w:rsidR="00F023A6" w:rsidRPr="00401903" w:rsidRDefault="00F023A6" w:rsidP="001958BB">
      <w:pPr>
        <w:pStyle w:val="FootnoteText"/>
        <w:spacing w:after="0" w:line="240" w:lineRule="auto"/>
        <w:rPr>
          <w:lang w:val="en-AU"/>
        </w:rPr>
      </w:pPr>
      <w:r>
        <w:rPr>
          <w:rStyle w:val="FootnoteReference"/>
        </w:rPr>
        <w:footnoteRef/>
      </w:r>
      <w:r>
        <w:t xml:space="preserve"> </w:t>
      </w:r>
      <w:r w:rsidRPr="0069542C">
        <w:rPr>
          <w:i/>
          <w:lang w:val="en-AU"/>
        </w:rPr>
        <w:t>Civil Procedure Rules</w:t>
      </w:r>
      <w:r w:rsidRPr="0069542C">
        <w:rPr>
          <w:lang w:val="en-AU"/>
        </w:rPr>
        <w:t>, r 80.21.</w:t>
      </w:r>
    </w:p>
  </w:footnote>
  <w:footnote w:id="30">
    <w:p w:rsidR="00C51B18" w:rsidRPr="00401903" w:rsidRDefault="00C51B18" w:rsidP="001958BB">
      <w:pPr>
        <w:pStyle w:val="FootnoteText"/>
        <w:spacing w:after="0" w:line="240" w:lineRule="auto"/>
        <w:rPr>
          <w:lang w:val="en-AU"/>
        </w:rPr>
      </w:pPr>
      <w:r>
        <w:rPr>
          <w:rStyle w:val="FootnoteReference"/>
        </w:rPr>
        <w:footnoteRef/>
      </w:r>
      <w:r>
        <w:t xml:space="preserve"> </w:t>
      </w:r>
      <w:r w:rsidR="00174C2F">
        <w:rPr>
          <w:lang w:val="en-AU"/>
        </w:rPr>
        <w:t xml:space="preserve">New Zealand Law Commission, </w:t>
      </w:r>
      <w:proofErr w:type="gramStart"/>
      <w:r w:rsidR="00174C2F" w:rsidRPr="00401903">
        <w:rPr>
          <w:i/>
          <w:lang w:val="en-AU"/>
        </w:rPr>
        <w:t>The</w:t>
      </w:r>
      <w:proofErr w:type="gramEnd"/>
      <w:r w:rsidR="00174C2F" w:rsidRPr="00401903">
        <w:rPr>
          <w:i/>
          <w:lang w:val="en-AU"/>
        </w:rPr>
        <w:t xml:space="preserve"> Crown in Court</w:t>
      </w:r>
      <w:r w:rsidR="00174C2F">
        <w:rPr>
          <w:lang w:val="en-AU"/>
        </w:rPr>
        <w:t>, 2015, pp 111-112, Recommendation 37.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6796" w:rsidRPr="004437DA" w:rsidRDefault="004437DA" w:rsidP="004437DA">
    <w:pPr>
      <w:spacing w:before="240" w:line="240" w:lineRule="auto"/>
      <w:rPr>
        <w:rFonts w:asciiTheme="minorHAnsi" w:hAnsiTheme="minorHAnsi" w:cstheme="minorHAnsi"/>
        <w:sz w:val="18"/>
        <w:szCs w:val="18"/>
      </w:rPr>
    </w:pPr>
    <w:r w:rsidRPr="004437DA">
      <w:rPr>
        <w:sz w:val="18"/>
        <w:szCs w:val="18"/>
      </w:rPr>
      <w:t>Control Order Safeguards (INSLM Report) Special Advocates and the Counter</w:t>
    </w:r>
    <w:r w:rsidRPr="004437DA">
      <w:rPr>
        <w:sz w:val="18"/>
        <w:szCs w:val="18"/>
      </w:rPr>
      <w:noBreakHyphen/>
      <w:t>Terrorism Legislation Amendment Bill (No 1) 2015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7DA" w:rsidRPr="004437DA" w:rsidRDefault="004437DA" w:rsidP="004437DA">
    <w:pPr>
      <w:spacing w:before="240" w:line="240" w:lineRule="auto"/>
      <w:rPr>
        <w:rFonts w:asciiTheme="minorHAnsi" w:hAnsiTheme="minorHAnsi" w:cstheme="minorHAnsi"/>
        <w:sz w:val="18"/>
        <w:szCs w:val="18"/>
      </w:rPr>
    </w:pPr>
    <w:r w:rsidRPr="004437DA">
      <w:rPr>
        <w:sz w:val="18"/>
        <w:szCs w:val="18"/>
      </w:rPr>
      <w:t>Control Order Safeguards (INSLM Report) Special Advocates and the Counter</w:t>
    </w:r>
    <w:r w:rsidRPr="004437DA">
      <w:rPr>
        <w:sz w:val="18"/>
        <w:szCs w:val="18"/>
      </w:rPr>
      <w:noBreakHyphen/>
      <w:t>Terrorism Legislation Amendment Bill (No 1) 2015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741" w:rsidRDefault="003D074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7DA" w:rsidRDefault="004437D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B1A99"/>
    <w:multiLevelType w:val="multilevel"/>
    <w:tmpl w:val="51161CA0"/>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nsid w:val="295C71E3"/>
    <w:multiLevelType w:val="multilevel"/>
    <w:tmpl w:val="D0DC120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
    <w:nsid w:val="3D5A5863"/>
    <w:multiLevelType w:val="multilevel"/>
    <w:tmpl w:val="0D303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860" w:hanging="576"/>
      </w:pPr>
      <w:rPr>
        <w:rFonts w:asciiTheme="minorHAnsi" w:hAnsiTheme="minorHAnsi" w:cstheme="minorHAnsi" w:hint="default"/>
        <w:b w:val="0"/>
        <w:strike w:val="0"/>
        <w:sz w:val="22"/>
        <w:szCs w:val="22"/>
        <w:vertAlign w:val="baseline"/>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nsid w:val="41C97F4E"/>
    <w:multiLevelType w:val="hybridMultilevel"/>
    <w:tmpl w:val="D4404CC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5A2214E4"/>
    <w:multiLevelType w:val="hybridMultilevel"/>
    <w:tmpl w:val="B4E8C7B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4093"/>
    <w:rsid w:val="00043FA2"/>
    <w:rsid w:val="000642BC"/>
    <w:rsid w:val="000747BA"/>
    <w:rsid w:val="00074EFC"/>
    <w:rsid w:val="00082E23"/>
    <w:rsid w:val="000831D2"/>
    <w:rsid w:val="0008662B"/>
    <w:rsid w:val="00087E80"/>
    <w:rsid w:val="000A52EC"/>
    <w:rsid w:val="000A7C5B"/>
    <w:rsid w:val="000A7FF5"/>
    <w:rsid w:val="000C1EA1"/>
    <w:rsid w:val="000C3FA9"/>
    <w:rsid w:val="000D4093"/>
    <w:rsid w:val="000D7D0C"/>
    <w:rsid w:val="000E2688"/>
    <w:rsid w:val="000F35FA"/>
    <w:rsid w:val="00102203"/>
    <w:rsid w:val="001070DF"/>
    <w:rsid w:val="00110983"/>
    <w:rsid w:val="00110C79"/>
    <w:rsid w:val="0011391C"/>
    <w:rsid w:val="00126559"/>
    <w:rsid w:val="0012658A"/>
    <w:rsid w:val="00137859"/>
    <w:rsid w:val="00155D11"/>
    <w:rsid w:val="00174C2F"/>
    <w:rsid w:val="001925CC"/>
    <w:rsid w:val="001958BB"/>
    <w:rsid w:val="001A5AF9"/>
    <w:rsid w:val="001C6D2A"/>
    <w:rsid w:val="001D7F20"/>
    <w:rsid w:val="001E1B81"/>
    <w:rsid w:val="001F0A68"/>
    <w:rsid w:val="001F1955"/>
    <w:rsid w:val="00202E86"/>
    <w:rsid w:val="00214F7A"/>
    <w:rsid w:val="002200D3"/>
    <w:rsid w:val="002364DB"/>
    <w:rsid w:val="00240B5C"/>
    <w:rsid w:val="00252943"/>
    <w:rsid w:val="00270B18"/>
    <w:rsid w:val="0027446A"/>
    <w:rsid w:val="00292449"/>
    <w:rsid w:val="002933C1"/>
    <w:rsid w:val="002A2FB1"/>
    <w:rsid w:val="002A5CA3"/>
    <w:rsid w:val="002B63E7"/>
    <w:rsid w:val="002C58D7"/>
    <w:rsid w:val="002C65C5"/>
    <w:rsid w:val="002D73DB"/>
    <w:rsid w:val="00327D8A"/>
    <w:rsid w:val="0035077B"/>
    <w:rsid w:val="00357717"/>
    <w:rsid w:val="00363D46"/>
    <w:rsid w:val="0036484C"/>
    <w:rsid w:val="0036550D"/>
    <w:rsid w:val="003669E5"/>
    <w:rsid w:val="00380C8D"/>
    <w:rsid w:val="00383845"/>
    <w:rsid w:val="00383ECF"/>
    <w:rsid w:val="00384B7E"/>
    <w:rsid w:val="00387927"/>
    <w:rsid w:val="00396DD6"/>
    <w:rsid w:val="003A18D8"/>
    <w:rsid w:val="003A2E0F"/>
    <w:rsid w:val="003A3E4D"/>
    <w:rsid w:val="003A58E5"/>
    <w:rsid w:val="003A69F6"/>
    <w:rsid w:val="003C1577"/>
    <w:rsid w:val="003C3024"/>
    <w:rsid w:val="003C6659"/>
    <w:rsid w:val="003D0741"/>
    <w:rsid w:val="003D3279"/>
    <w:rsid w:val="003F4FA4"/>
    <w:rsid w:val="00401903"/>
    <w:rsid w:val="00407EAF"/>
    <w:rsid w:val="00422849"/>
    <w:rsid w:val="00427C55"/>
    <w:rsid w:val="00431101"/>
    <w:rsid w:val="004312A5"/>
    <w:rsid w:val="0044067C"/>
    <w:rsid w:val="0044152B"/>
    <w:rsid w:val="004437DA"/>
    <w:rsid w:val="00455503"/>
    <w:rsid w:val="00461B5B"/>
    <w:rsid w:val="00463558"/>
    <w:rsid w:val="00464455"/>
    <w:rsid w:val="00474CBB"/>
    <w:rsid w:val="00492F3B"/>
    <w:rsid w:val="004A5615"/>
    <w:rsid w:val="004A7886"/>
    <w:rsid w:val="004B5ECB"/>
    <w:rsid w:val="004B7CCA"/>
    <w:rsid w:val="004C34DA"/>
    <w:rsid w:val="004C637F"/>
    <w:rsid w:val="004D00B5"/>
    <w:rsid w:val="004D0986"/>
    <w:rsid w:val="004F12B6"/>
    <w:rsid w:val="004F5977"/>
    <w:rsid w:val="00510613"/>
    <w:rsid w:val="005172CB"/>
    <w:rsid w:val="00517AB1"/>
    <w:rsid w:val="00524FCD"/>
    <w:rsid w:val="005360A4"/>
    <w:rsid w:val="00544DA2"/>
    <w:rsid w:val="00547536"/>
    <w:rsid w:val="005622BF"/>
    <w:rsid w:val="005632E2"/>
    <w:rsid w:val="0057352F"/>
    <w:rsid w:val="00582CAD"/>
    <w:rsid w:val="00582DDA"/>
    <w:rsid w:val="00583D8C"/>
    <w:rsid w:val="00584772"/>
    <w:rsid w:val="00592D59"/>
    <w:rsid w:val="005B7872"/>
    <w:rsid w:val="005C2FFB"/>
    <w:rsid w:val="005C6FED"/>
    <w:rsid w:val="005D3597"/>
    <w:rsid w:val="005D4DF3"/>
    <w:rsid w:val="005E03D3"/>
    <w:rsid w:val="00604214"/>
    <w:rsid w:val="00604E5F"/>
    <w:rsid w:val="00604FC8"/>
    <w:rsid w:val="00613769"/>
    <w:rsid w:val="00616674"/>
    <w:rsid w:val="00644374"/>
    <w:rsid w:val="00650428"/>
    <w:rsid w:val="00651407"/>
    <w:rsid w:val="006538AD"/>
    <w:rsid w:val="006632C1"/>
    <w:rsid w:val="00677039"/>
    <w:rsid w:val="00681456"/>
    <w:rsid w:val="00683388"/>
    <w:rsid w:val="00691EEA"/>
    <w:rsid w:val="00695642"/>
    <w:rsid w:val="006979C8"/>
    <w:rsid w:val="006A0DB4"/>
    <w:rsid w:val="006A23A7"/>
    <w:rsid w:val="006A27A0"/>
    <w:rsid w:val="006B3525"/>
    <w:rsid w:val="006C09C3"/>
    <w:rsid w:val="006C6C90"/>
    <w:rsid w:val="006D4918"/>
    <w:rsid w:val="006E58C3"/>
    <w:rsid w:val="006F68D6"/>
    <w:rsid w:val="0070529F"/>
    <w:rsid w:val="00734E00"/>
    <w:rsid w:val="007358A4"/>
    <w:rsid w:val="00736A73"/>
    <w:rsid w:val="00737DC7"/>
    <w:rsid w:val="00753DB2"/>
    <w:rsid w:val="00754432"/>
    <w:rsid w:val="0075536D"/>
    <w:rsid w:val="00756BE1"/>
    <w:rsid w:val="007609CC"/>
    <w:rsid w:val="007621AA"/>
    <w:rsid w:val="00763B43"/>
    <w:rsid w:val="00764E8D"/>
    <w:rsid w:val="00765365"/>
    <w:rsid w:val="00780266"/>
    <w:rsid w:val="00786F55"/>
    <w:rsid w:val="007A2D9B"/>
    <w:rsid w:val="007A3B66"/>
    <w:rsid w:val="007A5F5E"/>
    <w:rsid w:val="007B0798"/>
    <w:rsid w:val="007B22B4"/>
    <w:rsid w:val="007B3DA0"/>
    <w:rsid w:val="007D2E1B"/>
    <w:rsid w:val="007D4ADA"/>
    <w:rsid w:val="007D7CEB"/>
    <w:rsid w:val="007E189E"/>
    <w:rsid w:val="007E1E3E"/>
    <w:rsid w:val="007F0F40"/>
    <w:rsid w:val="007F7FBE"/>
    <w:rsid w:val="00810941"/>
    <w:rsid w:val="00813708"/>
    <w:rsid w:val="00843D2C"/>
    <w:rsid w:val="00843DB8"/>
    <w:rsid w:val="008506A6"/>
    <w:rsid w:val="00864FCA"/>
    <w:rsid w:val="00881CB8"/>
    <w:rsid w:val="00883CCB"/>
    <w:rsid w:val="008911AC"/>
    <w:rsid w:val="008B1012"/>
    <w:rsid w:val="008B2AEC"/>
    <w:rsid w:val="008C1F5C"/>
    <w:rsid w:val="008C3A10"/>
    <w:rsid w:val="008D2F43"/>
    <w:rsid w:val="008D4A52"/>
    <w:rsid w:val="008E353D"/>
    <w:rsid w:val="008F09E1"/>
    <w:rsid w:val="008F6734"/>
    <w:rsid w:val="00904F8A"/>
    <w:rsid w:val="00914730"/>
    <w:rsid w:val="0092029F"/>
    <w:rsid w:val="00931D10"/>
    <w:rsid w:val="00952CF0"/>
    <w:rsid w:val="00953028"/>
    <w:rsid w:val="00960B33"/>
    <w:rsid w:val="00961F64"/>
    <w:rsid w:val="00970795"/>
    <w:rsid w:val="009832FA"/>
    <w:rsid w:val="0098635B"/>
    <w:rsid w:val="00990B7E"/>
    <w:rsid w:val="009940E8"/>
    <w:rsid w:val="00996C83"/>
    <w:rsid w:val="009C05E0"/>
    <w:rsid w:val="009C3D4F"/>
    <w:rsid w:val="009F15BC"/>
    <w:rsid w:val="00A03154"/>
    <w:rsid w:val="00A040DB"/>
    <w:rsid w:val="00A0627D"/>
    <w:rsid w:val="00A13CD2"/>
    <w:rsid w:val="00A1648E"/>
    <w:rsid w:val="00A266CF"/>
    <w:rsid w:val="00A35168"/>
    <w:rsid w:val="00A3609B"/>
    <w:rsid w:val="00A46F46"/>
    <w:rsid w:val="00A4723B"/>
    <w:rsid w:val="00A726F7"/>
    <w:rsid w:val="00A73FE8"/>
    <w:rsid w:val="00A854CE"/>
    <w:rsid w:val="00AA4FD1"/>
    <w:rsid w:val="00AA71B3"/>
    <w:rsid w:val="00AC14A4"/>
    <w:rsid w:val="00AC205E"/>
    <w:rsid w:val="00AC5F07"/>
    <w:rsid w:val="00AE6E94"/>
    <w:rsid w:val="00AF09CC"/>
    <w:rsid w:val="00AF6796"/>
    <w:rsid w:val="00AF7560"/>
    <w:rsid w:val="00B11D4E"/>
    <w:rsid w:val="00B16860"/>
    <w:rsid w:val="00B21BBD"/>
    <w:rsid w:val="00B23519"/>
    <w:rsid w:val="00B372D3"/>
    <w:rsid w:val="00B40962"/>
    <w:rsid w:val="00B52F28"/>
    <w:rsid w:val="00B703A0"/>
    <w:rsid w:val="00B75769"/>
    <w:rsid w:val="00B871B9"/>
    <w:rsid w:val="00B87E5E"/>
    <w:rsid w:val="00B96651"/>
    <w:rsid w:val="00BA043D"/>
    <w:rsid w:val="00BA18AC"/>
    <w:rsid w:val="00BD40D4"/>
    <w:rsid w:val="00BE0017"/>
    <w:rsid w:val="00BE0E66"/>
    <w:rsid w:val="00BF0AD4"/>
    <w:rsid w:val="00C03F45"/>
    <w:rsid w:val="00C03F9A"/>
    <w:rsid w:val="00C046F5"/>
    <w:rsid w:val="00C10331"/>
    <w:rsid w:val="00C1262F"/>
    <w:rsid w:val="00C204E0"/>
    <w:rsid w:val="00C332B1"/>
    <w:rsid w:val="00C43327"/>
    <w:rsid w:val="00C51B18"/>
    <w:rsid w:val="00C6431E"/>
    <w:rsid w:val="00C760EF"/>
    <w:rsid w:val="00C813D9"/>
    <w:rsid w:val="00C83B50"/>
    <w:rsid w:val="00C8772A"/>
    <w:rsid w:val="00C95BF6"/>
    <w:rsid w:val="00CB3F1F"/>
    <w:rsid w:val="00CB4104"/>
    <w:rsid w:val="00CB4692"/>
    <w:rsid w:val="00CB47A2"/>
    <w:rsid w:val="00CB4F29"/>
    <w:rsid w:val="00CC0A37"/>
    <w:rsid w:val="00CC7C89"/>
    <w:rsid w:val="00CC7EB9"/>
    <w:rsid w:val="00CD018A"/>
    <w:rsid w:val="00CD29ED"/>
    <w:rsid w:val="00CD4019"/>
    <w:rsid w:val="00CE1B09"/>
    <w:rsid w:val="00CE1C5D"/>
    <w:rsid w:val="00D113CC"/>
    <w:rsid w:val="00D1546C"/>
    <w:rsid w:val="00D262BF"/>
    <w:rsid w:val="00D26AFA"/>
    <w:rsid w:val="00D31574"/>
    <w:rsid w:val="00D37690"/>
    <w:rsid w:val="00D405E5"/>
    <w:rsid w:val="00D42145"/>
    <w:rsid w:val="00D42C2D"/>
    <w:rsid w:val="00D4316D"/>
    <w:rsid w:val="00D44F09"/>
    <w:rsid w:val="00D46AF4"/>
    <w:rsid w:val="00D53186"/>
    <w:rsid w:val="00D643B0"/>
    <w:rsid w:val="00D81C75"/>
    <w:rsid w:val="00DA764D"/>
    <w:rsid w:val="00DB38F8"/>
    <w:rsid w:val="00DB75EA"/>
    <w:rsid w:val="00DC0207"/>
    <w:rsid w:val="00DF7C20"/>
    <w:rsid w:val="00E042A4"/>
    <w:rsid w:val="00E25D9F"/>
    <w:rsid w:val="00E27FC6"/>
    <w:rsid w:val="00E37F91"/>
    <w:rsid w:val="00E405B6"/>
    <w:rsid w:val="00E642CD"/>
    <w:rsid w:val="00E661E9"/>
    <w:rsid w:val="00E66F56"/>
    <w:rsid w:val="00E71B53"/>
    <w:rsid w:val="00E958D5"/>
    <w:rsid w:val="00ED1AA5"/>
    <w:rsid w:val="00ED2CA9"/>
    <w:rsid w:val="00EE2793"/>
    <w:rsid w:val="00EE5A6C"/>
    <w:rsid w:val="00EF174E"/>
    <w:rsid w:val="00EF5F9A"/>
    <w:rsid w:val="00F023A6"/>
    <w:rsid w:val="00F05EEA"/>
    <w:rsid w:val="00F112AF"/>
    <w:rsid w:val="00F17BCF"/>
    <w:rsid w:val="00F25C3B"/>
    <w:rsid w:val="00F35968"/>
    <w:rsid w:val="00F363E6"/>
    <w:rsid w:val="00F45F72"/>
    <w:rsid w:val="00F714E4"/>
    <w:rsid w:val="00F73263"/>
    <w:rsid w:val="00F737BC"/>
    <w:rsid w:val="00F75BC5"/>
    <w:rsid w:val="00F80DB2"/>
    <w:rsid w:val="00FA2D4E"/>
    <w:rsid w:val="00FA3A77"/>
    <w:rsid w:val="00FC143C"/>
    <w:rsid w:val="00FC3339"/>
    <w:rsid w:val="00FC563D"/>
    <w:rsid w:val="00FE138F"/>
    <w:rsid w:val="00FE3002"/>
    <w:rsid w:val="00FF213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4093"/>
    <w:rPr>
      <w:rFonts w:ascii="Calibri" w:eastAsia="Calibri" w:hAnsi="Calibri" w:cs="Times New Roman"/>
      <w:lang w:val="en-US"/>
    </w:rPr>
  </w:style>
  <w:style w:type="paragraph" w:styleId="Heading1">
    <w:name w:val="heading 1"/>
    <w:basedOn w:val="Normal"/>
    <w:next w:val="Normal"/>
    <w:link w:val="Heading1Char"/>
    <w:uiPriority w:val="9"/>
    <w:qFormat/>
    <w:rsid w:val="00357717"/>
    <w:pPr>
      <w:keepLines/>
      <w:numPr>
        <w:numId w:val="3"/>
      </w:numPr>
      <w:spacing w:before="480" w:after="0"/>
      <w:ind w:left="431" w:hanging="431"/>
      <w:contextualSpacing/>
      <w:textboxTightWrap w:val="allLines"/>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F09CC"/>
    <w:pPr>
      <w:numPr>
        <w:ilvl w:val="1"/>
        <w:numId w:val="3"/>
      </w:numPr>
      <w:spacing w:before="200" w:after="0"/>
      <w:ind w:left="578" w:hanging="578"/>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E1B09"/>
    <w:pPr>
      <w:keepNext/>
      <w:keepLines/>
      <w:numPr>
        <w:ilvl w:val="2"/>
        <w:numId w:val="3"/>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CE1B09"/>
    <w:pPr>
      <w:keepNext/>
      <w:keepLines/>
      <w:numPr>
        <w:ilvl w:val="3"/>
        <w:numId w:val="3"/>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CE1B09"/>
    <w:pPr>
      <w:keepNext/>
      <w:keepLines/>
      <w:numPr>
        <w:ilvl w:val="4"/>
        <w:numId w:val="3"/>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CE1B09"/>
    <w:pPr>
      <w:keepNext/>
      <w:keepLines/>
      <w:numPr>
        <w:ilvl w:val="5"/>
        <w:numId w:val="3"/>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CE1B09"/>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CE1B09"/>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CE1B09"/>
    <w:pPr>
      <w:keepNext/>
      <w:keepLines/>
      <w:numPr>
        <w:ilvl w:val="8"/>
        <w:numId w:val="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0D4093"/>
    <w:pPr>
      <w:tabs>
        <w:tab w:val="center" w:pos="4680"/>
        <w:tab w:val="right" w:pos="9360"/>
      </w:tabs>
    </w:pPr>
  </w:style>
  <w:style w:type="character" w:customStyle="1" w:styleId="FooterChar">
    <w:name w:val="Footer Char"/>
    <w:basedOn w:val="DefaultParagraphFont"/>
    <w:link w:val="Footer"/>
    <w:uiPriority w:val="99"/>
    <w:rsid w:val="000D4093"/>
    <w:rPr>
      <w:rFonts w:ascii="Calibri" w:eastAsia="Calibri" w:hAnsi="Calibri" w:cs="Times New Roman"/>
      <w:lang w:val="en-US"/>
    </w:rPr>
  </w:style>
  <w:style w:type="paragraph" w:styleId="FootnoteText">
    <w:name w:val="footnote text"/>
    <w:basedOn w:val="Normal"/>
    <w:link w:val="FootnoteTextChar"/>
    <w:uiPriority w:val="99"/>
    <w:unhideWhenUsed/>
    <w:rsid w:val="000D4093"/>
    <w:rPr>
      <w:sz w:val="20"/>
      <w:szCs w:val="20"/>
    </w:rPr>
  </w:style>
  <w:style w:type="character" w:customStyle="1" w:styleId="FootnoteTextChar">
    <w:name w:val="Footnote Text Char"/>
    <w:basedOn w:val="DefaultParagraphFont"/>
    <w:link w:val="FootnoteText"/>
    <w:uiPriority w:val="99"/>
    <w:rsid w:val="000D4093"/>
    <w:rPr>
      <w:rFonts w:ascii="Calibri" w:eastAsia="Calibri" w:hAnsi="Calibri" w:cs="Times New Roman"/>
      <w:sz w:val="20"/>
      <w:szCs w:val="20"/>
      <w:lang w:val="en-US"/>
    </w:rPr>
  </w:style>
  <w:style w:type="character" w:styleId="FootnoteReference">
    <w:name w:val="footnote reference"/>
    <w:uiPriority w:val="99"/>
    <w:semiHidden/>
    <w:unhideWhenUsed/>
    <w:rsid w:val="000D4093"/>
    <w:rPr>
      <w:vertAlign w:val="superscript"/>
    </w:rPr>
  </w:style>
  <w:style w:type="character" w:styleId="CommentReference">
    <w:name w:val="annotation reference"/>
    <w:uiPriority w:val="99"/>
    <w:semiHidden/>
    <w:unhideWhenUsed/>
    <w:rsid w:val="000D4093"/>
    <w:rPr>
      <w:sz w:val="16"/>
      <w:szCs w:val="16"/>
    </w:rPr>
  </w:style>
  <w:style w:type="paragraph" w:styleId="CommentText">
    <w:name w:val="annotation text"/>
    <w:basedOn w:val="Normal"/>
    <w:link w:val="CommentTextChar"/>
    <w:uiPriority w:val="99"/>
    <w:semiHidden/>
    <w:unhideWhenUsed/>
    <w:rsid w:val="000D4093"/>
    <w:rPr>
      <w:sz w:val="20"/>
      <w:szCs w:val="20"/>
    </w:rPr>
  </w:style>
  <w:style w:type="character" w:customStyle="1" w:styleId="CommentTextChar">
    <w:name w:val="Comment Text Char"/>
    <w:basedOn w:val="DefaultParagraphFont"/>
    <w:link w:val="CommentText"/>
    <w:uiPriority w:val="99"/>
    <w:semiHidden/>
    <w:rsid w:val="000D4093"/>
    <w:rPr>
      <w:rFonts w:ascii="Calibri" w:eastAsia="Calibri" w:hAnsi="Calibri" w:cs="Times New Roman"/>
      <w:sz w:val="20"/>
      <w:szCs w:val="20"/>
      <w:lang w:val="en-US"/>
    </w:rPr>
  </w:style>
  <w:style w:type="paragraph" w:styleId="BalloonText">
    <w:name w:val="Balloon Text"/>
    <w:basedOn w:val="Normal"/>
    <w:link w:val="BalloonTextChar"/>
    <w:uiPriority w:val="99"/>
    <w:semiHidden/>
    <w:unhideWhenUsed/>
    <w:rsid w:val="000D40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4093"/>
    <w:rPr>
      <w:rFonts w:ascii="Tahoma" w:eastAsia="Calibri"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074EFC"/>
    <w:pPr>
      <w:spacing w:line="240" w:lineRule="auto"/>
    </w:pPr>
    <w:rPr>
      <w:b/>
      <w:bCs/>
    </w:rPr>
  </w:style>
  <w:style w:type="character" w:customStyle="1" w:styleId="CommentSubjectChar">
    <w:name w:val="Comment Subject Char"/>
    <w:basedOn w:val="CommentTextChar"/>
    <w:link w:val="CommentSubject"/>
    <w:uiPriority w:val="99"/>
    <w:semiHidden/>
    <w:rsid w:val="00074EFC"/>
    <w:rPr>
      <w:rFonts w:ascii="Calibri" w:eastAsia="Calibri" w:hAnsi="Calibri" w:cs="Times New Roman"/>
      <w:b/>
      <w:bCs/>
      <w:sz w:val="20"/>
      <w:szCs w:val="20"/>
      <w:lang w:val="en-US"/>
    </w:rPr>
  </w:style>
  <w:style w:type="paragraph" w:styleId="ListParagraph">
    <w:name w:val="List Paragraph"/>
    <w:basedOn w:val="Normal"/>
    <w:uiPriority w:val="34"/>
    <w:qFormat/>
    <w:rsid w:val="00126559"/>
    <w:pPr>
      <w:ind w:left="720"/>
      <w:contextualSpacing/>
    </w:pPr>
  </w:style>
  <w:style w:type="paragraph" w:customStyle="1" w:styleId="Default">
    <w:name w:val="Default"/>
    <w:basedOn w:val="Normal"/>
    <w:rsid w:val="002364DB"/>
    <w:pPr>
      <w:autoSpaceDE w:val="0"/>
      <w:autoSpaceDN w:val="0"/>
      <w:spacing w:after="0" w:line="240" w:lineRule="auto"/>
    </w:pPr>
    <w:rPr>
      <w:rFonts w:eastAsiaTheme="minorHAnsi" w:cs="Calibri"/>
      <w:color w:val="000000"/>
      <w:sz w:val="24"/>
      <w:szCs w:val="24"/>
      <w:lang w:val="en-AU"/>
    </w:rPr>
  </w:style>
  <w:style w:type="paragraph" w:customStyle="1" w:styleId="subsection">
    <w:name w:val="subsection"/>
    <w:basedOn w:val="Normal"/>
    <w:rsid w:val="008E353D"/>
    <w:pPr>
      <w:spacing w:before="100" w:beforeAutospacing="1" w:after="100" w:afterAutospacing="1" w:line="240" w:lineRule="auto"/>
    </w:pPr>
    <w:rPr>
      <w:rFonts w:ascii="Times New Roman" w:eastAsia="Times New Roman" w:hAnsi="Times New Roman"/>
      <w:sz w:val="24"/>
      <w:szCs w:val="24"/>
      <w:lang w:val="en-AU" w:eastAsia="en-AU"/>
    </w:rPr>
  </w:style>
  <w:style w:type="paragraph" w:customStyle="1" w:styleId="paragraph">
    <w:name w:val="paragraph"/>
    <w:basedOn w:val="Normal"/>
    <w:rsid w:val="008E353D"/>
    <w:pPr>
      <w:spacing w:before="100" w:beforeAutospacing="1" w:after="100" w:afterAutospacing="1" w:line="240" w:lineRule="auto"/>
    </w:pPr>
    <w:rPr>
      <w:rFonts w:ascii="Times New Roman" w:eastAsia="Times New Roman" w:hAnsi="Times New Roman"/>
      <w:sz w:val="24"/>
      <w:szCs w:val="24"/>
      <w:lang w:val="en-AU" w:eastAsia="en-AU"/>
    </w:rPr>
  </w:style>
  <w:style w:type="paragraph" w:customStyle="1" w:styleId="paragraphsub">
    <w:name w:val="paragraphsub"/>
    <w:basedOn w:val="Normal"/>
    <w:rsid w:val="008E353D"/>
    <w:pPr>
      <w:spacing w:before="100" w:beforeAutospacing="1" w:after="100" w:afterAutospacing="1" w:line="240" w:lineRule="auto"/>
    </w:pPr>
    <w:rPr>
      <w:rFonts w:ascii="Times New Roman" w:eastAsia="Times New Roman" w:hAnsi="Times New Roman"/>
      <w:sz w:val="24"/>
      <w:szCs w:val="24"/>
      <w:lang w:val="en-AU" w:eastAsia="en-AU"/>
    </w:rPr>
  </w:style>
  <w:style w:type="character" w:customStyle="1" w:styleId="Heading1Char">
    <w:name w:val="Heading 1 Char"/>
    <w:basedOn w:val="DefaultParagraphFont"/>
    <w:link w:val="Heading1"/>
    <w:uiPriority w:val="9"/>
    <w:rsid w:val="00357717"/>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uiPriority w:val="9"/>
    <w:rsid w:val="00AF09CC"/>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link w:val="Heading3"/>
    <w:uiPriority w:val="9"/>
    <w:rsid w:val="00CE1B09"/>
    <w:rPr>
      <w:rFonts w:asciiTheme="majorHAnsi" w:eastAsiaTheme="majorEastAsia" w:hAnsiTheme="majorHAnsi" w:cstheme="majorBidi"/>
      <w:b/>
      <w:bCs/>
      <w:color w:val="4F81BD" w:themeColor="accent1"/>
      <w:lang w:val="en-US"/>
    </w:rPr>
  </w:style>
  <w:style w:type="character" w:customStyle="1" w:styleId="Heading4Char">
    <w:name w:val="Heading 4 Char"/>
    <w:basedOn w:val="DefaultParagraphFont"/>
    <w:link w:val="Heading4"/>
    <w:uiPriority w:val="9"/>
    <w:semiHidden/>
    <w:rsid w:val="00CE1B09"/>
    <w:rPr>
      <w:rFonts w:asciiTheme="majorHAnsi" w:eastAsiaTheme="majorEastAsia" w:hAnsiTheme="majorHAnsi" w:cstheme="majorBidi"/>
      <w:b/>
      <w:bCs/>
      <w:i/>
      <w:iCs/>
      <w:color w:val="4F81BD" w:themeColor="accent1"/>
      <w:lang w:val="en-US"/>
    </w:rPr>
  </w:style>
  <w:style w:type="character" w:customStyle="1" w:styleId="Heading5Char">
    <w:name w:val="Heading 5 Char"/>
    <w:basedOn w:val="DefaultParagraphFont"/>
    <w:link w:val="Heading5"/>
    <w:uiPriority w:val="9"/>
    <w:semiHidden/>
    <w:rsid w:val="00CE1B09"/>
    <w:rPr>
      <w:rFonts w:asciiTheme="majorHAnsi" w:eastAsiaTheme="majorEastAsia" w:hAnsiTheme="majorHAnsi" w:cstheme="majorBidi"/>
      <w:color w:val="243F60" w:themeColor="accent1" w:themeShade="7F"/>
      <w:lang w:val="en-US"/>
    </w:rPr>
  </w:style>
  <w:style w:type="character" w:customStyle="1" w:styleId="Heading6Char">
    <w:name w:val="Heading 6 Char"/>
    <w:basedOn w:val="DefaultParagraphFont"/>
    <w:link w:val="Heading6"/>
    <w:uiPriority w:val="9"/>
    <w:semiHidden/>
    <w:rsid w:val="00CE1B09"/>
    <w:rPr>
      <w:rFonts w:asciiTheme="majorHAnsi" w:eastAsiaTheme="majorEastAsia" w:hAnsiTheme="majorHAnsi" w:cstheme="majorBidi"/>
      <w:i/>
      <w:iCs/>
      <w:color w:val="243F60" w:themeColor="accent1" w:themeShade="7F"/>
      <w:lang w:val="en-US"/>
    </w:rPr>
  </w:style>
  <w:style w:type="character" w:customStyle="1" w:styleId="Heading7Char">
    <w:name w:val="Heading 7 Char"/>
    <w:basedOn w:val="DefaultParagraphFont"/>
    <w:link w:val="Heading7"/>
    <w:uiPriority w:val="9"/>
    <w:semiHidden/>
    <w:rsid w:val="00CE1B09"/>
    <w:rPr>
      <w:rFonts w:asciiTheme="majorHAnsi" w:eastAsiaTheme="majorEastAsia" w:hAnsiTheme="majorHAnsi" w:cstheme="majorBidi"/>
      <w:i/>
      <w:iCs/>
      <w:color w:val="404040" w:themeColor="text1" w:themeTint="BF"/>
      <w:lang w:val="en-US"/>
    </w:rPr>
  </w:style>
  <w:style w:type="character" w:customStyle="1" w:styleId="Heading8Char">
    <w:name w:val="Heading 8 Char"/>
    <w:basedOn w:val="DefaultParagraphFont"/>
    <w:link w:val="Heading8"/>
    <w:uiPriority w:val="9"/>
    <w:semiHidden/>
    <w:rsid w:val="00CE1B09"/>
    <w:rPr>
      <w:rFonts w:asciiTheme="majorHAnsi" w:eastAsiaTheme="majorEastAsia" w:hAnsiTheme="majorHAnsi" w:cstheme="majorBidi"/>
      <w:color w:val="404040" w:themeColor="text1" w:themeTint="BF"/>
      <w:sz w:val="20"/>
      <w:szCs w:val="20"/>
      <w:lang w:val="en-US"/>
    </w:rPr>
  </w:style>
  <w:style w:type="character" w:customStyle="1" w:styleId="Heading9Char">
    <w:name w:val="Heading 9 Char"/>
    <w:basedOn w:val="DefaultParagraphFont"/>
    <w:link w:val="Heading9"/>
    <w:uiPriority w:val="9"/>
    <w:semiHidden/>
    <w:rsid w:val="00CE1B09"/>
    <w:rPr>
      <w:rFonts w:asciiTheme="majorHAnsi" w:eastAsiaTheme="majorEastAsia" w:hAnsiTheme="majorHAnsi" w:cstheme="majorBidi"/>
      <w:i/>
      <w:iCs/>
      <w:color w:val="404040" w:themeColor="text1" w:themeTint="BF"/>
      <w:sz w:val="20"/>
      <w:szCs w:val="20"/>
      <w:lang w:val="en-US"/>
    </w:rPr>
  </w:style>
  <w:style w:type="paragraph" w:styleId="NoSpacing">
    <w:name w:val="No Spacing"/>
    <w:basedOn w:val="subsection"/>
    <w:uiPriority w:val="1"/>
    <w:qFormat/>
    <w:rsid w:val="003F4FA4"/>
    <w:pPr>
      <w:spacing w:before="240" w:beforeAutospacing="0" w:line="480" w:lineRule="auto"/>
      <w:ind w:left="720"/>
    </w:pPr>
    <w:rPr>
      <w:rFonts w:asciiTheme="minorHAnsi" w:hAnsiTheme="minorHAnsi" w:cstheme="minorHAnsi"/>
      <w:sz w:val="22"/>
      <w:szCs w:val="22"/>
    </w:rPr>
  </w:style>
  <w:style w:type="paragraph" w:styleId="Header">
    <w:name w:val="header"/>
    <w:basedOn w:val="Normal"/>
    <w:link w:val="HeaderChar"/>
    <w:unhideWhenUsed/>
    <w:rsid w:val="004A7886"/>
    <w:pPr>
      <w:tabs>
        <w:tab w:val="center" w:pos="4513"/>
        <w:tab w:val="right" w:pos="9026"/>
      </w:tabs>
      <w:spacing w:after="0" w:line="240" w:lineRule="auto"/>
    </w:pPr>
  </w:style>
  <w:style w:type="character" w:customStyle="1" w:styleId="HeaderChar">
    <w:name w:val="Header Char"/>
    <w:basedOn w:val="DefaultParagraphFont"/>
    <w:link w:val="Header"/>
    <w:rsid w:val="004A7886"/>
    <w:rPr>
      <w:rFonts w:ascii="Calibri" w:eastAsia="Calibri" w:hAnsi="Calibri" w:cs="Times New Roman"/>
      <w:lang w:val="en-US"/>
    </w:rPr>
  </w:style>
  <w:style w:type="paragraph" w:styleId="TOCHeading">
    <w:name w:val="TOC Heading"/>
    <w:basedOn w:val="Heading1"/>
    <w:next w:val="Normal"/>
    <w:uiPriority w:val="39"/>
    <w:semiHidden/>
    <w:unhideWhenUsed/>
    <w:qFormat/>
    <w:rsid w:val="00D1546C"/>
    <w:pPr>
      <w:numPr>
        <w:numId w:val="0"/>
      </w:numPr>
      <w:contextualSpacing w:val="0"/>
      <w:textboxTightWrap w:val="none"/>
      <w:outlineLvl w:val="9"/>
    </w:pPr>
    <w:rPr>
      <w:lang w:eastAsia="ja-JP"/>
    </w:rPr>
  </w:style>
  <w:style w:type="paragraph" w:styleId="TOC1">
    <w:name w:val="toc 1"/>
    <w:basedOn w:val="Normal"/>
    <w:next w:val="Normal"/>
    <w:autoRedefine/>
    <w:uiPriority w:val="39"/>
    <w:unhideWhenUsed/>
    <w:rsid w:val="00D1546C"/>
    <w:pPr>
      <w:spacing w:after="100"/>
    </w:pPr>
  </w:style>
  <w:style w:type="paragraph" w:styleId="TOC2">
    <w:name w:val="toc 2"/>
    <w:basedOn w:val="Normal"/>
    <w:next w:val="Normal"/>
    <w:autoRedefine/>
    <w:uiPriority w:val="39"/>
    <w:unhideWhenUsed/>
    <w:rsid w:val="00D1546C"/>
    <w:pPr>
      <w:spacing w:after="100"/>
      <w:ind w:left="220"/>
    </w:pPr>
  </w:style>
  <w:style w:type="character" w:styleId="Hyperlink">
    <w:name w:val="Hyperlink"/>
    <w:basedOn w:val="DefaultParagraphFont"/>
    <w:uiPriority w:val="99"/>
    <w:unhideWhenUsed/>
    <w:rsid w:val="00D1546C"/>
    <w:rPr>
      <w:color w:val="0000FF" w:themeColor="hyperlink"/>
      <w:u w:val="single"/>
    </w:rPr>
  </w:style>
  <w:style w:type="paragraph" w:styleId="Title">
    <w:name w:val="Title"/>
    <w:basedOn w:val="Normal"/>
    <w:next w:val="Normal"/>
    <w:link w:val="TitleChar"/>
    <w:uiPriority w:val="10"/>
    <w:qFormat/>
    <w:rsid w:val="00D1546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1546C"/>
    <w:rPr>
      <w:rFonts w:asciiTheme="majorHAnsi" w:eastAsiaTheme="majorEastAsia" w:hAnsiTheme="majorHAnsi" w:cstheme="majorBidi"/>
      <w:color w:val="17365D" w:themeColor="text2" w:themeShade="BF"/>
      <w:spacing w:val="5"/>
      <w:kern w:val="28"/>
      <w:sz w:val="52"/>
      <w:szCs w:val="52"/>
      <w:lang w:val="en-US"/>
    </w:rPr>
  </w:style>
  <w:style w:type="paragraph" w:styleId="Subtitle">
    <w:name w:val="Subtitle"/>
    <w:basedOn w:val="Normal"/>
    <w:next w:val="Normal"/>
    <w:link w:val="SubtitleChar"/>
    <w:uiPriority w:val="11"/>
    <w:qFormat/>
    <w:rsid w:val="00327D8A"/>
    <w:pPr>
      <w:numPr>
        <w:ilvl w:val="1"/>
      </w:numPr>
    </w:pPr>
    <w:rPr>
      <w:rFonts w:asciiTheme="majorHAnsi" w:eastAsiaTheme="majorEastAsia" w:hAnsiTheme="majorHAnsi" w:cstheme="majorBidi"/>
      <w:i/>
      <w:iCs/>
      <w:color w:val="4F81BD" w:themeColor="accent1"/>
      <w:spacing w:val="15"/>
      <w:sz w:val="24"/>
      <w:szCs w:val="24"/>
      <w:lang w:eastAsia="ja-JP"/>
    </w:rPr>
  </w:style>
  <w:style w:type="character" w:customStyle="1" w:styleId="SubtitleChar">
    <w:name w:val="Subtitle Char"/>
    <w:basedOn w:val="DefaultParagraphFont"/>
    <w:link w:val="Subtitle"/>
    <w:uiPriority w:val="11"/>
    <w:rsid w:val="00327D8A"/>
    <w:rPr>
      <w:rFonts w:asciiTheme="majorHAnsi" w:eastAsiaTheme="majorEastAsia" w:hAnsiTheme="majorHAnsi" w:cstheme="majorBidi"/>
      <w:i/>
      <w:iCs/>
      <w:color w:val="4F81BD" w:themeColor="accent1"/>
      <w:spacing w:val="15"/>
      <w:sz w:val="24"/>
      <w:szCs w:val="24"/>
      <w:lang w:val="en-US" w:eastAsia="ja-JP"/>
    </w:rPr>
  </w:style>
  <w:style w:type="character" w:styleId="Strong">
    <w:name w:val="Strong"/>
    <w:basedOn w:val="DefaultParagraphFont"/>
    <w:uiPriority w:val="22"/>
    <w:qFormat/>
    <w:rsid w:val="003D0741"/>
    <w:rPr>
      <w:b/>
      <w:bCs/>
    </w:rPr>
  </w:style>
  <w:style w:type="paragraph" w:customStyle="1" w:styleId="List1">
    <w:name w:val="List1"/>
    <w:basedOn w:val="Heading2"/>
    <w:link w:val="listChar"/>
    <w:qFormat/>
    <w:rsid w:val="002A5CA3"/>
    <w:pPr>
      <w:outlineLvl w:val="9"/>
    </w:pPr>
    <w:rPr>
      <w:rFonts w:asciiTheme="minorHAnsi" w:hAnsiTheme="minorHAnsi" w:cstheme="minorHAnsi"/>
      <w:b w:val="0"/>
      <w:color w:val="auto"/>
      <w:sz w:val="22"/>
      <w:szCs w:val="22"/>
    </w:rPr>
  </w:style>
  <w:style w:type="paragraph" w:customStyle="1" w:styleId="h2">
    <w:name w:val="h2"/>
    <w:basedOn w:val="Heading1"/>
    <w:link w:val="h2Char"/>
    <w:qFormat/>
    <w:rsid w:val="00E37F91"/>
    <w:pPr>
      <w:outlineLvl w:val="1"/>
    </w:pPr>
    <w:rPr>
      <w:color w:val="4F81BD" w:themeColor="accent1"/>
    </w:rPr>
  </w:style>
  <w:style w:type="character" w:customStyle="1" w:styleId="listChar">
    <w:name w:val="list Char"/>
    <w:basedOn w:val="Heading2Char"/>
    <w:link w:val="List1"/>
    <w:rsid w:val="002A5CA3"/>
    <w:rPr>
      <w:rFonts w:asciiTheme="majorHAnsi" w:eastAsiaTheme="majorEastAsia" w:hAnsiTheme="majorHAnsi" w:cstheme="minorHAnsi"/>
      <w:b w:val="0"/>
      <w:bCs/>
      <w:color w:val="4F81BD" w:themeColor="accent1"/>
      <w:sz w:val="26"/>
      <w:szCs w:val="26"/>
      <w:lang w:val="en-US"/>
    </w:rPr>
  </w:style>
  <w:style w:type="character" w:customStyle="1" w:styleId="h2Char">
    <w:name w:val="h2 Char"/>
    <w:basedOn w:val="Heading1Char"/>
    <w:link w:val="h2"/>
    <w:rsid w:val="00E37F91"/>
    <w:rPr>
      <w:rFonts w:asciiTheme="majorHAnsi" w:eastAsiaTheme="majorEastAsia" w:hAnsiTheme="majorHAnsi" w:cstheme="majorBidi"/>
      <w:b/>
      <w:bCs/>
      <w:color w:val="4F81BD" w:themeColor="accent1"/>
      <w:sz w:val="28"/>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4093"/>
    <w:rPr>
      <w:rFonts w:ascii="Calibri" w:eastAsia="Calibri" w:hAnsi="Calibri" w:cs="Times New Roman"/>
      <w:lang w:val="en-US"/>
    </w:rPr>
  </w:style>
  <w:style w:type="paragraph" w:styleId="Heading1">
    <w:name w:val="heading 1"/>
    <w:basedOn w:val="Normal"/>
    <w:next w:val="Normal"/>
    <w:link w:val="Heading1Char"/>
    <w:uiPriority w:val="9"/>
    <w:qFormat/>
    <w:rsid w:val="00357717"/>
    <w:pPr>
      <w:keepLines/>
      <w:numPr>
        <w:numId w:val="3"/>
      </w:numPr>
      <w:spacing w:before="480" w:after="0"/>
      <w:ind w:left="431" w:hanging="431"/>
      <w:contextualSpacing/>
      <w:textboxTightWrap w:val="allLines"/>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AF09CC"/>
    <w:pPr>
      <w:numPr>
        <w:ilvl w:val="1"/>
        <w:numId w:val="3"/>
      </w:numPr>
      <w:spacing w:before="200" w:after="0"/>
      <w:ind w:left="578" w:hanging="578"/>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E1B09"/>
    <w:pPr>
      <w:keepNext/>
      <w:keepLines/>
      <w:numPr>
        <w:ilvl w:val="2"/>
        <w:numId w:val="3"/>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CE1B09"/>
    <w:pPr>
      <w:keepNext/>
      <w:keepLines/>
      <w:numPr>
        <w:ilvl w:val="3"/>
        <w:numId w:val="3"/>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CE1B09"/>
    <w:pPr>
      <w:keepNext/>
      <w:keepLines/>
      <w:numPr>
        <w:ilvl w:val="4"/>
        <w:numId w:val="3"/>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CE1B09"/>
    <w:pPr>
      <w:keepNext/>
      <w:keepLines/>
      <w:numPr>
        <w:ilvl w:val="5"/>
        <w:numId w:val="3"/>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CE1B09"/>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CE1B09"/>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CE1B09"/>
    <w:pPr>
      <w:keepNext/>
      <w:keepLines/>
      <w:numPr>
        <w:ilvl w:val="8"/>
        <w:numId w:val="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0D4093"/>
    <w:pPr>
      <w:tabs>
        <w:tab w:val="center" w:pos="4680"/>
        <w:tab w:val="right" w:pos="9360"/>
      </w:tabs>
    </w:pPr>
  </w:style>
  <w:style w:type="character" w:customStyle="1" w:styleId="FooterChar">
    <w:name w:val="Footer Char"/>
    <w:basedOn w:val="DefaultParagraphFont"/>
    <w:link w:val="Footer"/>
    <w:uiPriority w:val="99"/>
    <w:rsid w:val="000D4093"/>
    <w:rPr>
      <w:rFonts w:ascii="Calibri" w:eastAsia="Calibri" w:hAnsi="Calibri" w:cs="Times New Roman"/>
      <w:lang w:val="en-US"/>
    </w:rPr>
  </w:style>
  <w:style w:type="paragraph" w:styleId="FootnoteText">
    <w:name w:val="footnote text"/>
    <w:basedOn w:val="Normal"/>
    <w:link w:val="FootnoteTextChar"/>
    <w:uiPriority w:val="99"/>
    <w:unhideWhenUsed/>
    <w:rsid w:val="000D4093"/>
    <w:rPr>
      <w:sz w:val="20"/>
      <w:szCs w:val="20"/>
    </w:rPr>
  </w:style>
  <w:style w:type="character" w:customStyle="1" w:styleId="FootnoteTextChar">
    <w:name w:val="Footnote Text Char"/>
    <w:basedOn w:val="DefaultParagraphFont"/>
    <w:link w:val="FootnoteText"/>
    <w:uiPriority w:val="99"/>
    <w:rsid w:val="000D4093"/>
    <w:rPr>
      <w:rFonts w:ascii="Calibri" w:eastAsia="Calibri" w:hAnsi="Calibri" w:cs="Times New Roman"/>
      <w:sz w:val="20"/>
      <w:szCs w:val="20"/>
      <w:lang w:val="en-US"/>
    </w:rPr>
  </w:style>
  <w:style w:type="character" w:styleId="FootnoteReference">
    <w:name w:val="footnote reference"/>
    <w:uiPriority w:val="99"/>
    <w:semiHidden/>
    <w:unhideWhenUsed/>
    <w:rsid w:val="000D4093"/>
    <w:rPr>
      <w:vertAlign w:val="superscript"/>
    </w:rPr>
  </w:style>
  <w:style w:type="character" w:styleId="CommentReference">
    <w:name w:val="annotation reference"/>
    <w:uiPriority w:val="99"/>
    <w:semiHidden/>
    <w:unhideWhenUsed/>
    <w:rsid w:val="000D4093"/>
    <w:rPr>
      <w:sz w:val="16"/>
      <w:szCs w:val="16"/>
    </w:rPr>
  </w:style>
  <w:style w:type="paragraph" w:styleId="CommentText">
    <w:name w:val="annotation text"/>
    <w:basedOn w:val="Normal"/>
    <w:link w:val="CommentTextChar"/>
    <w:uiPriority w:val="99"/>
    <w:semiHidden/>
    <w:unhideWhenUsed/>
    <w:rsid w:val="000D4093"/>
    <w:rPr>
      <w:sz w:val="20"/>
      <w:szCs w:val="20"/>
    </w:rPr>
  </w:style>
  <w:style w:type="character" w:customStyle="1" w:styleId="CommentTextChar">
    <w:name w:val="Comment Text Char"/>
    <w:basedOn w:val="DefaultParagraphFont"/>
    <w:link w:val="CommentText"/>
    <w:uiPriority w:val="99"/>
    <w:semiHidden/>
    <w:rsid w:val="000D4093"/>
    <w:rPr>
      <w:rFonts w:ascii="Calibri" w:eastAsia="Calibri" w:hAnsi="Calibri" w:cs="Times New Roman"/>
      <w:sz w:val="20"/>
      <w:szCs w:val="20"/>
      <w:lang w:val="en-US"/>
    </w:rPr>
  </w:style>
  <w:style w:type="paragraph" w:styleId="BalloonText">
    <w:name w:val="Balloon Text"/>
    <w:basedOn w:val="Normal"/>
    <w:link w:val="BalloonTextChar"/>
    <w:uiPriority w:val="99"/>
    <w:semiHidden/>
    <w:unhideWhenUsed/>
    <w:rsid w:val="000D40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4093"/>
    <w:rPr>
      <w:rFonts w:ascii="Tahoma" w:eastAsia="Calibri"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074EFC"/>
    <w:pPr>
      <w:spacing w:line="240" w:lineRule="auto"/>
    </w:pPr>
    <w:rPr>
      <w:b/>
      <w:bCs/>
    </w:rPr>
  </w:style>
  <w:style w:type="character" w:customStyle="1" w:styleId="CommentSubjectChar">
    <w:name w:val="Comment Subject Char"/>
    <w:basedOn w:val="CommentTextChar"/>
    <w:link w:val="CommentSubject"/>
    <w:uiPriority w:val="99"/>
    <w:semiHidden/>
    <w:rsid w:val="00074EFC"/>
    <w:rPr>
      <w:rFonts w:ascii="Calibri" w:eastAsia="Calibri" w:hAnsi="Calibri" w:cs="Times New Roman"/>
      <w:b/>
      <w:bCs/>
      <w:sz w:val="20"/>
      <w:szCs w:val="20"/>
      <w:lang w:val="en-US"/>
    </w:rPr>
  </w:style>
  <w:style w:type="paragraph" w:styleId="ListParagraph">
    <w:name w:val="List Paragraph"/>
    <w:basedOn w:val="Normal"/>
    <w:uiPriority w:val="34"/>
    <w:qFormat/>
    <w:rsid w:val="00126559"/>
    <w:pPr>
      <w:ind w:left="720"/>
      <w:contextualSpacing/>
    </w:pPr>
  </w:style>
  <w:style w:type="paragraph" w:customStyle="1" w:styleId="Default">
    <w:name w:val="Default"/>
    <w:basedOn w:val="Normal"/>
    <w:rsid w:val="002364DB"/>
    <w:pPr>
      <w:autoSpaceDE w:val="0"/>
      <w:autoSpaceDN w:val="0"/>
      <w:spacing w:after="0" w:line="240" w:lineRule="auto"/>
    </w:pPr>
    <w:rPr>
      <w:rFonts w:eastAsiaTheme="minorHAnsi" w:cs="Calibri"/>
      <w:color w:val="000000"/>
      <w:sz w:val="24"/>
      <w:szCs w:val="24"/>
      <w:lang w:val="en-AU"/>
    </w:rPr>
  </w:style>
  <w:style w:type="paragraph" w:customStyle="1" w:styleId="subsection">
    <w:name w:val="subsection"/>
    <w:basedOn w:val="Normal"/>
    <w:rsid w:val="008E353D"/>
    <w:pPr>
      <w:spacing w:before="100" w:beforeAutospacing="1" w:after="100" w:afterAutospacing="1" w:line="240" w:lineRule="auto"/>
    </w:pPr>
    <w:rPr>
      <w:rFonts w:ascii="Times New Roman" w:eastAsia="Times New Roman" w:hAnsi="Times New Roman"/>
      <w:sz w:val="24"/>
      <w:szCs w:val="24"/>
      <w:lang w:val="en-AU" w:eastAsia="en-AU"/>
    </w:rPr>
  </w:style>
  <w:style w:type="paragraph" w:customStyle="1" w:styleId="paragraph">
    <w:name w:val="paragraph"/>
    <w:basedOn w:val="Normal"/>
    <w:rsid w:val="008E353D"/>
    <w:pPr>
      <w:spacing w:before="100" w:beforeAutospacing="1" w:after="100" w:afterAutospacing="1" w:line="240" w:lineRule="auto"/>
    </w:pPr>
    <w:rPr>
      <w:rFonts w:ascii="Times New Roman" w:eastAsia="Times New Roman" w:hAnsi="Times New Roman"/>
      <w:sz w:val="24"/>
      <w:szCs w:val="24"/>
      <w:lang w:val="en-AU" w:eastAsia="en-AU"/>
    </w:rPr>
  </w:style>
  <w:style w:type="paragraph" w:customStyle="1" w:styleId="paragraphsub">
    <w:name w:val="paragraphsub"/>
    <w:basedOn w:val="Normal"/>
    <w:rsid w:val="008E353D"/>
    <w:pPr>
      <w:spacing w:before="100" w:beforeAutospacing="1" w:after="100" w:afterAutospacing="1" w:line="240" w:lineRule="auto"/>
    </w:pPr>
    <w:rPr>
      <w:rFonts w:ascii="Times New Roman" w:eastAsia="Times New Roman" w:hAnsi="Times New Roman"/>
      <w:sz w:val="24"/>
      <w:szCs w:val="24"/>
      <w:lang w:val="en-AU" w:eastAsia="en-AU"/>
    </w:rPr>
  </w:style>
  <w:style w:type="character" w:customStyle="1" w:styleId="Heading1Char">
    <w:name w:val="Heading 1 Char"/>
    <w:basedOn w:val="DefaultParagraphFont"/>
    <w:link w:val="Heading1"/>
    <w:uiPriority w:val="9"/>
    <w:rsid w:val="00357717"/>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uiPriority w:val="9"/>
    <w:rsid w:val="00AF09CC"/>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link w:val="Heading3"/>
    <w:uiPriority w:val="9"/>
    <w:rsid w:val="00CE1B09"/>
    <w:rPr>
      <w:rFonts w:asciiTheme="majorHAnsi" w:eastAsiaTheme="majorEastAsia" w:hAnsiTheme="majorHAnsi" w:cstheme="majorBidi"/>
      <w:b/>
      <w:bCs/>
      <w:color w:val="4F81BD" w:themeColor="accent1"/>
      <w:lang w:val="en-US"/>
    </w:rPr>
  </w:style>
  <w:style w:type="character" w:customStyle="1" w:styleId="Heading4Char">
    <w:name w:val="Heading 4 Char"/>
    <w:basedOn w:val="DefaultParagraphFont"/>
    <w:link w:val="Heading4"/>
    <w:uiPriority w:val="9"/>
    <w:semiHidden/>
    <w:rsid w:val="00CE1B09"/>
    <w:rPr>
      <w:rFonts w:asciiTheme="majorHAnsi" w:eastAsiaTheme="majorEastAsia" w:hAnsiTheme="majorHAnsi" w:cstheme="majorBidi"/>
      <w:b/>
      <w:bCs/>
      <w:i/>
      <w:iCs/>
      <w:color w:val="4F81BD" w:themeColor="accent1"/>
      <w:lang w:val="en-US"/>
    </w:rPr>
  </w:style>
  <w:style w:type="character" w:customStyle="1" w:styleId="Heading5Char">
    <w:name w:val="Heading 5 Char"/>
    <w:basedOn w:val="DefaultParagraphFont"/>
    <w:link w:val="Heading5"/>
    <w:uiPriority w:val="9"/>
    <w:semiHidden/>
    <w:rsid w:val="00CE1B09"/>
    <w:rPr>
      <w:rFonts w:asciiTheme="majorHAnsi" w:eastAsiaTheme="majorEastAsia" w:hAnsiTheme="majorHAnsi" w:cstheme="majorBidi"/>
      <w:color w:val="243F60" w:themeColor="accent1" w:themeShade="7F"/>
      <w:lang w:val="en-US"/>
    </w:rPr>
  </w:style>
  <w:style w:type="character" w:customStyle="1" w:styleId="Heading6Char">
    <w:name w:val="Heading 6 Char"/>
    <w:basedOn w:val="DefaultParagraphFont"/>
    <w:link w:val="Heading6"/>
    <w:uiPriority w:val="9"/>
    <w:semiHidden/>
    <w:rsid w:val="00CE1B09"/>
    <w:rPr>
      <w:rFonts w:asciiTheme="majorHAnsi" w:eastAsiaTheme="majorEastAsia" w:hAnsiTheme="majorHAnsi" w:cstheme="majorBidi"/>
      <w:i/>
      <w:iCs/>
      <w:color w:val="243F60" w:themeColor="accent1" w:themeShade="7F"/>
      <w:lang w:val="en-US"/>
    </w:rPr>
  </w:style>
  <w:style w:type="character" w:customStyle="1" w:styleId="Heading7Char">
    <w:name w:val="Heading 7 Char"/>
    <w:basedOn w:val="DefaultParagraphFont"/>
    <w:link w:val="Heading7"/>
    <w:uiPriority w:val="9"/>
    <w:semiHidden/>
    <w:rsid w:val="00CE1B09"/>
    <w:rPr>
      <w:rFonts w:asciiTheme="majorHAnsi" w:eastAsiaTheme="majorEastAsia" w:hAnsiTheme="majorHAnsi" w:cstheme="majorBidi"/>
      <w:i/>
      <w:iCs/>
      <w:color w:val="404040" w:themeColor="text1" w:themeTint="BF"/>
      <w:lang w:val="en-US"/>
    </w:rPr>
  </w:style>
  <w:style w:type="character" w:customStyle="1" w:styleId="Heading8Char">
    <w:name w:val="Heading 8 Char"/>
    <w:basedOn w:val="DefaultParagraphFont"/>
    <w:link w:val="Heading8"/>
    <w:uiPriority w:val="9"/>
    <w:semiHidden/>
    <w:rsid w:val="00CE1B09"/>
    <w:rPr>
      <w:rFonts w:asciiTheme="majorHAnsi" w:eastAsiaTheme="majorEastAsia" w:hAnsiTheme="majorHAnsi" w:cstheme="majorBidi"/>
      <w:color w:val="404040" w:themeColor="text1" w:themeTint="BF"/>
      <w:sz w:val="20"/>
      <w:szCs w:val="20"/>
      <w:lang w:val="en-US"/>
    </w:rPr>
  </w:style>
  <w:style w:type="character" w:customStyle="1" w:styleId="Heading9Char">
    <w:name w:val="Heading 9 Char"/>
    <w:basedOn w:val="DefaultParagraphFont"/>
    <w:link w:val="Heading9"/>
    <w:uiPriority w:val="9"/>
    <w:semiHidden/>
    <w:rsid w:val="00CE1B09"/>
    <w:rPr>
      <w:rFonts w:asciiTheme="majorHAnsi" w:eastAsiaTheme="majorEastAsia" w:hAnsiTheme="majorHAnsi" w:cstheme="majorBidi"/>
      <w:i/>
      <w:iCs/>
      <w:color w:val="404040" w:themeColor="text1" w:themeTint="BF"/>
      <w:sz w:val="20"/>
      <w:szCs w:val="20"/>
      <w:lang w:val="en-US"/>
    </w:rPr>
  </w:style>
  <w:style w:type="paragraph" w:styleId="NoSpacing">
    <w:name w:val="No Spacing"/>
    <w:basedOn w:val="subsection"/>
    <w:uiPriority w:val="1"/>
    <w:qFormat/>
    <w:rsid w:val="003F4FA4"/>
    <w:pPr>
      <w:spacing w:before="240" w:beforeAutospacing="0" w:line="480" w:lineRule="auto"/>
      <w:ind w:left="720"/>
    </w:pPr>
    <w:rPr>
      <w:rFonts w:asciiTheme="minorHAnsi" w:hAnsiTheme="minorHAnsi" w:cstheme="minorHAnsi"/>
      <w:sz w:val="22"/>
      <w:szCs w:val="22"/>
    </w:rPr>
  </w:style>
  <w:style w:type="paragraph" w:styleId="Header">
    <w:name w:val="header"/>
    <w:basedOn w:val="Normal"/>
    <w:link w:val="HeaderChar"/>
    <w:unhideWhenUsed/>
    <w:rsid w:val="004A7886"/>
    <w:pPr>
      <w:tabs>
        <w:tab w:val="center" w:pos="4513"/>
        <w:tab w:val="right" w:pos="9026"/>
      </w:tabs>
      <w:spacing w:after="0" w:line="240" w:lineRule="auto"/>
    </w:pPr>
  </w:style>
  <w:style w:type="character" w:customStyle="1" w:styleId="HeaderChar">
    <w:name w:val="Header Char"/>
    <w:basedOn w:val="DefaultParagraphFont"/>
    <w:link w:val="Header"/>
    <w:rsid w:val="004A7886"/>
    <w:rPr>
      <w:rFonts w:ascii="Calibri" w:eastAsia="Calibri" w:hAnsi="Calibri" w:cs="Times New Roman"/>
      <w:lang w:val="en-US"/>
    </w:rPr>
  </w:style>
  <w:style w:type="paragraph" w:styleId="TOCHeading">
    <w:name w:val="TOC Heading"/>
    <w:basedOn w:val="Heading1"/>
    <w:next w:val="Normal"/>
    <w:uiPriority w:val="39"/>
    <w:semiHidden/>
    <w:unhideWhenUsed/>
    <w:qFormat/>
    <w:rsid w:val="00D1546C"/>
    <w:pPr>
      <w:numPr>
        <w:numId w:val="0"/>
      </w:numPr>
      <w:contextualSpacing w:val="0"/>
      <w:textboxTightWrap w:val="none"/>
      <w:outlineLvl w:val="9"/>
    </w:pPr>
    <w:rPr>
      <w:lang w:eastAsia="ja-JP"/>
    </w:rPr>
  </w:style>
  <w:style w:type="paragraph" w:styleId="TOC1">
    <w:name w:val="toc 1"/>
    <w:basedOn w:val="Normal"/>
    <w:next w:val="Normal"/>
    <w:autoRedefine/>
    <w:uiPriority w:val="39"/>
    <w:unhideWhenUsed/>
    <w:rsid w:val="00D1546C"/>
    <w:pPr>
      <w:spacing w:after="100"/>
    </w:pPr>
  </w:style>
  <w:style w:type="paragraph" w:styleId="TOC2">
    <w:name w:val="toc 2"/>
    <w:basedOn w:val="Normal"/>
    <w:next w:val="Normal"/>
    <w:autoRedefine/>
    <w:uiPriority w:val="39"/>
    <w:unhideWhenUsed/>
    <w:rsid w:val="00D1546C"/>
    <w:pPr>
      <w:spacing w:after="100"/>
      <w:ind w:left="220"/>
    </w:pPr>
  </w:style>
  <w:style w:type="character" w:styleId="Hyperlink">
    <w:name w:val="Hyperlink"/>
    <w:basedOn w:val="DefaultParagraphFont"/>
    <w:uiPriority w:val="99"/>
    <w:unhideWhenUsed/>
    <w:rsid w:val="00D1546C"/>
    <w:rPr>
      <w:color w:val="0000FF" w:themeColor="hyperlink"/>
      <w:u w:val="single"/>
    </w:rPr>
  </w:style>
  <w:style w:type="paragraph" w:styleId="Title">
    <w:name w:val="Title"/>
    <w:basedOn w:val="Normal"/>
    <w:next w:val="Normal"/>
    <w:link w:val="TitleChar"/>
    <w:uiPriority w:val="10"/>
    <w:qFormat/>
    <w:rsid w:val="00D1546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1546C"/>
    <w:rPr>
      <w:rFonts w:asciiTheme="majorHAnsi" w:eastAsiaTheme="majorEastAsia" w:hAnsiTheme="majorHAnsi" w:cstheme="majorBidi"/>
      <w:color w:val="17365D" w:themeColor="text2" w:themeShade="BF"/>
      <w:spacing w:val="5"/>
      <w:kern w:val="28"/>
      <w:sz w:val="52"/>
      <w:szCs w:val="52"/>
      <w:lang w:val="en-US"/>
    </w:rPr>
  </w:style>
  <w:style w:type="paragraph" w:styleId="Subtitle">
    <w:name w:val="Subtitle"/>
    <w:basedOn w:val="Normal"/>
    <w:next w:val="Normal"/>
    <w:link w:val="SubtitleChar"/>
    <w:uiPriority w:val="11"/>
    <w:qFormat/>
    <w:rsid w:val="00327D8A"/>
    <w:pPr>
      <w:numPr>
        <w:ilvl w:val="1"/>
      </w:numPr>
    </w:pPr>
    <w:rPr>
      <w:rFonts w:asciiTheme="majorHAnsi" w:eastAsiaTheme="majorEastAsia" w:hAnsiTheme="majorHAnsi" w:cstheme="majorBidi"/>
      <w:i/>
      <w:iCs/>
      <w:color w:val="4F81BD" w:themeColor="accent1"/>
      <w:spacing w:val="15"/>
      <w:sz w:val="24"/>
      <w:szCs w:val="24"/>
      <w:lang w:eastAsia="ja-JP"/>
    </w:rPr>
  </w:style>
  <w:style w:type="character" w:customStyle="1" w:styleId="SubtitleChar">
    <w:name w:val="Subtitle Char"/>
    <w:basedOn w:val="DefaultParagraphFont"/>
    <w:link w:val="Subtitle"/>
    <w:uiPriority w:val="11"/>
    <w:rsid w:val="00327D8A"/>
    <w:rPr>
      <w:rFonts w:asciiTheme="majorHAnsi" w:eastAsiaTheme="majorEastAsia" w:hAnsiTheme="majorHAnsi" w:cstheme="majorBidi"/>
      <w:i/>
      <w:iCs/>
      <w:color w:val="4F81BD" w:themeColor="accent1"/>
      <w:spacing w:val="15"/>
      <w:sz w:val="24"/>
      <w:szCs w:val="24"/>
      <w:lang w:val="en-US" w:eastAsia="ja-JP"/>
    </w:rPr>
  </w:style>
  <w:style w:type="character" w:styleId="Strong">
    <w:name w:val="Strong"/>
    <w:basedOn w:val="DefaultParagraphFont"/>
    <w:uiPriority w:val="22"/>
    <w:qFormat/>
    <w:rsid w:val="003D0741"/>
    <w:rPr>
      <w:b/>
      <w:bCs/>
    </w:rPr>
  </w:style>
  <w:style w:type="paragraph" w:customStyle="1" w:styleId="List1">
    <w:name w:val="List1"/>
    <w:basedOn w:val="Heading2"/>
    <w:link w:val="listChar"/>
    <w:qFormat/>
    <w:rsid w:val="002A5CA3"/>
    <w:pPr>
      <w:outlineLvl w:val="9"/>
    </w:pPr>
    <w:rPr>
      <w:rFonts w:asciiTheme="minorHAnsi" w:hAnsiTheme="minorHAnsi" w:cstheme="minorHAnsi"/>
      <w:b w:val="0"/>
      <w:color w:val="auto"/>
      <w:sz w:val="22"/>
      <w:szCs w:val="22"/>
    </w:rPr>
  </w:style>
  <w:style w:type="paragraph" w:customStyle="1" w:styleId="h2">
    <w:name w:val="h2"/>
    <w:basedOn w:val="Heading1"/>
    <w:link w:val="h2Char"/>
    <w:qFormat/>
    <w:rsid w:val="00E37F91"/>
    <w:pPr>
      <w:outlineLvl w:val="1"/>
    </w:pPr>
    <w:rPr>
      <w:color w:val="4F81BD" w:themeColor="accent1"/>
    </w:rPr>
  </w:style>
  <w:style w:type="character" w:customStyle="1" w:styleId="listChar">
    <w:name w:val="list Char"/>
    <w:basedOn w:val="Heading2Char"/>
    <w:link w:val="List1"/>
    <w:rsid w:val="002A5CA3"/>
    <w:rPr>
      <w:rFonts w:asciiTheme="majorHAnsi" w:eastAsiaTheme="majorEastAsia" w:hAnsiTheme="majorHAnsi" w:cstheme="minorHAnsi"/>
      <w:b w:val="0"/>
      <w:bCs/>
      <w:color w:val="4F81BD" w:themeColor="accent1"/>
      <w:sz w:val="26"/>
      <w:szCs w:val="26"/>
      <w:lang w:val="en-US"/>
    </w:rPr>
  </w:style>
  <w:style w:type="character" w:customStyle="1" w:styleId="h2Char">
    <w:name w:val="h2 Char"/>
    <w:basedOn w:val="Heading1Char"/>
    <w:link w:val="h2"/>
    <w:rsid w:val="00E37F91"/>
    <w:rPr>
      <w:rFonts w:asciiTheme="majorHAnsi" w:eastAsiaTheme="majorEastAsia" w:hAnsiTheme="majorHAnsi" w:cstheme="majorBidi"/>
      <w:b/>
      <w:bCs/>
      <w:color w:val="4F81BD" w:themeColor="accent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0356377">
      <w:bodyDiv w:val="1"/>
      <w:marLeft w:val="0"/>
      <w:marRight w:val="0"/>
      <w:marTop w:val="0"/>
      <w:marBottom w:val="0"/>
      <w:divBdr>
        <w:top w:val="none" w:sz="0" w:space="0" w:color="auto"/>
        <w:left w:val="none" w:sz="0" w:space="0" w:color="auto"/>
        <w:bottom w:val="none" w:sz="0" w:space="0" w:color="auto"/>
        <w:right w:val="none" w:sz="0" w:space="0" w:color="auto"/>
      </w:divBdr>
    </w:div>
    <w:div w:id="603609643">
      <w:bodyDiv w:val="1"/>
      <w:marLeft w:val="0"/>
      <w:marRight w:val="0"/>
      <w:marTop w:val="0"/>
      <w:marBottom w:val="0"/>
      <w:divBdr>
        <w:top w:val="none" w:sz="0" w:space="0" w:color="auto"/>
        <w:left w:val="none" w:sz="0" w:space="0" w:color="auto"/>
        <w:bottom w:val="none" w:sz="0" w:space="0" w:color="auto"/>
        <w:right w:val="none" w:sz="0" w:space="0" w:color="auto"/>
      </w:divBdr>
    </w:div>
    <w:div w:id="1129518337">
      <w:bodyDiv w:val="1"/>
      <w:marLeft w:val="0"/>
      <w:marRight w:val="0"/>
      <w:marTop w:val="0"/>
      <w:marBottom w:val="0"/>
      <w:divBdr>
        <w:top w:val="none" w:sz="0" w:space="0" w:color="auto"/>
        <w:left w:val="none" w:sz="0" w:space="0" w:color="auto"/>
        <w:bottom w:val="none" w:sz="0" w:space="0" w:color="auto"/>
        <w:right w:val="none" w:sz="0" w:space="0" w:color="auto"/>
      </w:divBdr>
    </w:div>
    <w:div w:id="1171338097">
      <w:bodyDiv w:val="1"/>
      <w:marLeft w:val="0"/>
      <w:marRight w:val="0"/>
      <w:marTop w:val="0"/>
      <w:marBottom w:val="0"/>
      <w:divBdr>
        <w:top w:val="none" w:sz="0" w:space="0" w:color="auto"/>
        <w:left w:val="none" w:sz="0" w:space="0" w:color="auto"/>
        <w:bottom w:val="none" w:sz="0" w:space="0" w:color="auto"/>
        <w:right w:val="none" w:sz="0" w:space="0" w:color="auto"/>
      </w:divBdr>
    </w:div>
    <w:div w:id="1943222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yperlink" Target="http://www.dpmc.gov.au" TargetMode="External"/><Relationship Id="rId3" Type="http://schemas.openxmlformats.org/officeDocument/2006/relationships/numbering" Target="numbering.xml"/><Relationship Id="rId21" Type="http://schemas.openxmlformats.org/officeDocument/2006/relationships/image" Target="cid:image003.png@01D159AC.361248F0" TargetMode="Externa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www.itsanhonour.gov.au/coat-arm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3.gi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library.pmc.gov.au/wp-content/uploads/ccby.png" TargetMode="External"/><Relationship Id="rId23" Type="http://schemas.openxmlformats.org/officeDocument/2006/relationships/footer" Target="footer2.xml"/><Relationship Id="rId10" Type="http://schemas.openxmlformats.org/officeDocument/2006/relationships/header" Target="header1.xm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creativecommons.org/licenses/by/3.0/au/deed.en" TargetMode="External"/><Relationship Id="rId22"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The Hon Roger Gyles AO QC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635FD6A-73CC-42A2-9194-B28D64A23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16</Pages>
  <Words>4035</Words>
  <Characters>23004</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Control Order Safeguards (INSLM) Report Special Advocates and the Counter-Terrorism Legislation Amendment Bill (No 1) 2015</vt:lpstr>
    </vt:vector>
  </TitlesOfParts>
  <Company>Independent National Security Legislation Monitor</Company>
  <LinksUpToDate>false</LinksUpToDate>
  <CharactersWithSpaces>26986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 Order Safeguards (INSLM) Report Special Advocates and the Counter-Terrorism Legislation Amendment Bill (No 1) 2015</dc:title>
  <dc:subject/>
  <dc:creator>Independent National Security Legislation Monitor</dc:creator>
  <cp:lastModifiedBy>Roberts, Sarah</cp:lastModifiedBy>
  <cp:revision>22</cp:revision>
  <cp:lastPrinted>2016-01-29T04:42:00Z</cp:lastPrinted>
  <dcterms:created xsi:type="dcterms:W3CDTF">2016-01-29T04:29:00Z</dcterms:created>
  <dcterms:modified xsi:type="dcterms:W3CDTF">2016-06-23T00:25:00Z</dcterms:modified>
</cp:coreProperties>
</file>